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inorEastAsia" w:hAnsi="Calibri" w:cstheme="majorHAnsi"/>
          <w:i w:val="0"/>
          <w:iCs w:val="0"/>
          <w:color w:val="auto"/>
          <w:spacing w:val="0"/>
        </w:rPr>
        <w:id w:val="1875197026"/>
        <w:docPartObj>
          <w:docPartGallery w:val="Cover Pages"/>
          <w:docPartUnique/>
        </w:docPartObj>
      </w:sdtPr>
      <w:sdtEndPr>
        <w:rPr>
          <w:b/>
          <w:bCs/>
        </w:rPr>
      </w:sdtEndPr>
      <w:sdtContent>
        <w:p w14:paraId="2B32F143" w14:textId="22156235" w:rsidR="00A9743A" w:rsidRPr="001A6AF1" w:rsidRDefault="00A9743A" w:rsidP="007A3EF4">
          <w:pPr>
            <w:pStyle w:val="Sous-titre"/>
            <w:spacing w:after="120" w:line="276" w:lineRule="auto"/>
            <w:rPr>
              <w:rFonts w:cstheme="majorHAnsi"/>
            </w:rPr>
          </w:pPr>
        </w:p>
        <w:p w14:paraId="316E7828" w14:textId="3B8725A2" w:rsidR="00A9743A" w:rsidRPr="001A6AF1" w:rsidRDefault="007A15E1" w:rsidP="007A3EF4">
          <w:pPr>
            <w:spacing w:after="120" w:line="276" w:lineRule="auto"/>
            <w:ind w:firstLine="0"/>
            <w:rPr>
              <w:rFonts w:asciiTheme="majorHAnsi" w:hAnsiTheme="majorHAnsi" w:cstheme="majorHAnsi"/>
              <w:b/>
              <w:bCs/>
            </w:rPr>
          </w:pPr>
          <w:r w:rsidRPr="001A6AF1">
            <w:rPr>
              <w:rFonts w:asciiTheme="majorHAnsi" w:eastAsiaTheme="majorEastAsia" w:hAnsiTheme="majorHAnsi" w:cstheme="majorHAnsi"/>
              <w:b/>
              <w:bCs/>
              <w:noProof/>
            </w:rPr>
            <mc:AlternateContent>
              <mc:Choice Requires="wps">
                <w:drawing>
                  <wp:anchor distT="0" distB="0" distL="114300" distR="114300" simplePos="0" relativeHeight="251661824" behindDoc="0" locked="0" layoutInCell="1" allowOverlap="1" wp14:anchorId="4ABB96A3" wp14:editId="0F8FE0AB">
                    <wp:simplePos x="0" y="0"/>
                    <wp:positionH relativeFrom="column">
                      <wp:posOffset>1571837</wp:posOffset>
                    </wp:positionH>
                    <wp:positionV relativeFrom="paragraph">
                      <wp:posOffset>6336665</wp:posOffset>
                    </wp:positionV>
                    <wp:extent cx="2870200" cy="812800"/>
                    <wp:effectExtent l="0" t="0" r="0" b="6350"/>
                    <wp:wrapNone/>
                    <wp:docPr id="3" name="Zone de texte 3"/>
                    <wp:cNvGraphicFramePr/>
                    <a:graphic xmlns:a="http://schemas.openxmlformats.org/drawingml/2006/main">
                      <a:graphicData uri="http://schemas.microsoft.com/office/word/2010/wordprocessingShape">
                        <wps:wsp>
                          <wps:cNvSpPr txBox="1"/>
                          <wps:spPr>
                            <a:xfrm>
                              <a:off x="0" y="0"/>
                              <a:ext cx="2870200" cy="812800"/>
                            </a:xfrm>
                            <a:prstGeom prst="rect">
                              <a:avLst/>
                            </a:prstGeom>
                            <a:noFill/>
                            <a:ln w="6350">
                              <a:noFill/>
                            </a:ln>
                          </wps:spPr>
                          <wps:txbx>
                            <w:txbxContent>
                              <w:p w14:paraId="10390971" w14:textId="18FEE169" w:rsidR="007A15E1" w:rsidRPr="003B7E0E" w:rsidRDefault="001C1411">
                                <w:pPr>
                                  <w:rPr>
                                    <w:b/>
                                    <w:color w:val="FFFFFF" w:themeColor="background1"/>
                                    <w:sz w:val="28"/>
                                  </w:rPr>
                                </w:pPr>
                                <w:r w:rsidRPr="003B7E0E">
                                  <w:rPr>
                                    <w:b/>
                                    <w:color w:val="FFFFFF" w:themeColor="background1"/>
                                    <w:sz w:val="28"/>
                                  </w:rPr>
                                  <w:t>Note validée par la Commission comptabilité-gestion</w:t>
                                </w:r>
                                <w:r w:rsidR="00031868" w:rsidRPr="003B7E0E">
                                  <w:rPr>
                                    <w:b/>
                                    <w:color w:val="FFFFFF" w:themeColor="background1"/>
                                    <w:sz w:val="28"/>
                                  </w:rPr>
                                  <w:t xml:space="preserve"> et le Conseil d’administration </w:t>
                                </w:r>
                                <w:r w:rsidR="00BF4587">
                                  <w:rPr>
                                    <w:b/>
                                    <w:color w:val="FFFFFF" w:themeColor="background1"/>
                                    <w:sz w:val="28"/>
                                  </w:rPr>
                                  <w:t>- décembre</w:t>
                                </w:r>
                                <w:r w:rsidR="00335385" w:rsidRPr="003B7E0E">
                                  <w:rPr>
                                    <w:b/>
                                    <w:color w:val="FFFFFF" w:themeColor="background1"/>
                                    <w:sz w:val="28"/>
                                  </w:rPr>
                                  <w:t xml:space="preserve"> 2018</w:t>
                                </w:r>
                                <w:r w:rsidR="00031868" w:rsidRPr="003B7E0E">
                                  <w:rPr>
                                    <w:b/>
                                    <w:color w:val="FFFFFF" w:themeColor="background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B96A3" id="_x0000_t202" coordsize="21600,21600" o:spt="202" path="m,l,21600r21600,l21600,xe">
                    <v:stroke joinstyle="miter"/>
                    <v:path gradientshapeok="t" o:connecttype="rect"/>
                  </v:shapetype>
                  <v:shape id="Zone de texte 3" o:spid="_x0000_s1026" type="#_x0000_t202" style="position:absolute;margin-left:123.75pt;margin-top:498.95pt;width:226pt;height: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" filled="f" stroked="f" strokeweight=".5pt">
                    <v:textbox>
                      <w:txbxContent>
                        <w:p w14:paraId="10390971" w14:textId="18FEE169" w:rsidR="007A15E1" w:rsidRPr="003B7E0E" w:rsidRDefault="001C1411">
                          <w:pPr>
                            <w:rPr>
                              <w:b/>
                              <w:color w:val="FFFFFF" w:themeColor="background1"/>
                              <w:sz w:val="28"/>
                            </w:rPr>
                          </w:pPr>
                          <w:r w:rsidRPr="003B7E0E">
                            <w:rPr>
                              <w:b/>
                              <w:color w:val="FFFFFF" w:themeColor="background1"/>
                              <w:sz w:val="28"/>
                            </w:rPr>
                            <w:t>Note validée par la Commission comptabilité-gestion</w:t>
                          </w:r>
                          <w:r w:rsidR="00031868" w:rsidRPr="003B7E0E">
                            <w:rPr>
                              <w:b/>
                              <w:color w:val="FFFFFF" w:themeColor="background1"/>
                              <w:sz w:val="28"/>
                            </w:rPr>
                            <w:t xml:space="preserve"> et le Conseil d’administration </w:t>
                          </w:r>
                          <w:r w:rsidR="00BF4587">
                            <w:rPr>
                              <w:b/>
                              <w:color w:val="FFFFFF" w:themeColor="background1"/>
                              <w:sz w:val="28"/>
                            </w:rPr>
                            <w:t>- décembre</w:t>
                          </w:r>
                          <w:r w:rsidR="00335385" w:rsidRPr="003B7E0E">
                            <w:rPr>
                              <w:b/>
                              <w:color w:val="FFFFFF" w:themeColor="background1"/>
                              <w:sz w:val="28"/>
                            </w:rPr>
                            <w:t xml:space="preserve"> 2018</w:t>
                          </w:r>
                          <w:r w:rsidR="00031868" w:rsidRPr="003B7E0E">
                            <w:rPr>
                              <w:b/>
                              <w:color w:val="FFFFFF" w:themeColor="background1"/>
                              <w:sz w:val="28"/>
                            </w:rPr>
                            <w:t xml:space="preserve"> </w:t>
                          </w:r>
                        </w:p>
                      </w:txbxContent>
                    </v:textbox>
                  </v:shape>
                </w:pict>
              </mc:Fallback>
            </mc:AlternateContent>
          </w:r>
          <w:r w:rsidR="00BC4E6D" w:rsidRPr="001A6AF1">
            <w:rPr>
              <w:rFonts w:asciiTheme="majorHAnsi" w:eastAsiaTheme="majorEastAsia" w:hAnsiTheme="majorHAnsi" w:cstheme="majorHAnsi"/>
              <w:b/>
              <w:bCs/>
              <w:noProof/>
            </w:rPr>
            <mc:AlternateContent>
              <mc:Choice Requires="wps">
                <w:drawing>
                  <wp:anchor distT="0" distB="0" distL="114300" distR="114300" simplePos="0" relativeHeight="251658752" behindDoc="0" locked="0" layoutInCell="1" allowOverlap="1" wp14:anchorId="290D5B4E" wp14:editId="3553F366">
                    <wp:simplePos x="0" y="0"/>
                    <wp:positionH relativeFrom="column">
                      <wp:posOffset>1404620</wp:posOffset>
                    </wp:positionH>
                    <wp:positionV relativeFrom="paragraph">
                      <wp:posOffset>6784340</wp:posOffset>
                    </wp:positionV>
                    <wp:extent cx="3171825" cy="1943100"/>
                    <wp:effectExtent l="0" t="0" r="9525" b="0"/>
                    <wp:wrapThrough wrapText="bothSides">
                      <wp:wrapPolygon edited="0">
                        <wp:start x="0" y="0"/>
                        <wp:lineTo x="0" y="21388"/>
                        <wp:lineTo x="21535" y="21388"/>
                        <wp:lineTo x="21535"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3171825" cy="1943100"/>
                            </a:xfrm>
                            <a:prstGeom prst="rect">
                              <a:avLst/>
                            </a:prstGeom>
                            <a:solidFill>
                              <a:srgbClr val="00A8C0">
                                <a:alpha val="84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10B9FE2" w14:textId="79B2A4B5" w:rsidR="00F26F9F" w:rsidRPr="00A070B8" w:rsidRDefault="00F26F9F" w:rsidP="00483307">
                                <w:pPr>
                                  <w:ind w:firstLine="0"/>
                                </w:pPr>
                              </w:p>
                            </w:txbxContent>
                          </wps:txbx>
                          <wps:bodyPr rot="0" spcFirstLastPara="0" vertOverflow="overflow" horzOverflow="overflow" vert="horz" wrap="square" lIns="180000" tIns="180000" rIns="180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5B4E" id="Rectangle 12" o:spid="_x0000_s1027" style="position:absolute;margin-left:110.6pt;margin-top:534.2pt;width:249.75pt;height:1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" fillcolor="#00a8c0" stroked="f">
                    <v:fill opacity="54998f"/>
                    <v:textbox inset="5mm,5mm,5mm,20mm">
                      <w:txbxContent>
                        <w:p w14:paraId="510B9FE2" w14:textId="79B2A4B5" w:rsidR="00F26F9F" w:rsidRPr="00A070B8" w:rsidRDefault="00F26F9F" w:rsidP="00483307">
                          <w:pPr>
                            <w:ind w:firstLine="0"/>
                          </w:pPr>
                        </w:p>
                      </w:txbxContent>
                    </v:textbox>
                    <w10:wrap type="through"/>
                  </v:rect>
                </w:pict>
              </mc:Fallback>
            </mc:AlternateContent>
          </w:r>
          <w:r w:rsidR="00483307" w:rsidRPr="001A6AF1">
            <w:rPr>
              <w:rFonts w:asciiTheme="majorHAnsi" w:eastAsiaTheme="majorEastAsia" w:hAnsiTheme="majorHAnsi" w:cstheme="majorHAnsi"/>
              <w:b/>
              <w:bCs/>
              <w:noProof/>
            </w:rPr>
            <w:drawing>
              <wp:anchor distT="0" distB="0" distL="114300" distR="114300" simplePos="0" relativeHeight="251660800" behindDoc="0" locked="0" layoutInCell="1" allowOverlap="1" wp14:anchorId="73570AFE" wp14:editId="189D1222">
                <wp:simplePos x="0" y="0"/>
                <wp:positionH relativeFrom="column">
                  <wp:posOffset>2371725</wp:posOffset>
                </wp:positionH>
                <wp:positionV relativeFrom="paragraph">
                  <wp:posOffset>7285990</wp:posOffset>
                </wp:positionV>
                <wp:extent cx="1397000" cy="812800"/>
                <wp:effectExtent l="0" t="0" r="0" b="0"/>
                <wp:wrapNone/>
                <wp:docPr id="5" name="Image 5" descr="Dossiers en cours:Clients:FNOGEC:18679 Rapport d'activité FNOGEC:Links:Logo-Fnogec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siers en cours:Clients:FNOGEC:18679 Rapport d'activité FNOGEC:Links:Logo-Fnogec_transpar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6B8" w:rsidRPr="001A6AF1">
            <w:rPr>
              <w:rFonts w:asciiTheme="majorHAnsi" w:eastAsiaTheme="majorEastAsia" w:hAnsiTheme="majorHAnsi" w:cstheme="majorHAnsi"/>
              <w:b/>
              <w:bCs/>
              <w:noProof/>
            </w:rPr>
            <w:drawing>
              <wp:anchor distT="0" distB="0" distL="114300" distR="114300" simplePos="0" relativeHeight="251658240" behindDoc="1" locked="0" layoutInCell="1" allowOverlap="1" wp14:anchorId="17C9977C" wp14:editId="6ACC799E">
                <wp:simplePos x="0" y="0"/>
                <wp:positionH relativeFrom="column">
                  <wp:posOffset>-2872051</wp:posOffset>
                </wp:positionH>
                <wp:positionV relativeFrom="paragraph">
                  <wp:posOffset>282521</wp:posOffset>
                </wp:positionV>
                <wp:extent cx="11478258" cy="7656689"/>
                <wp:effectExtent l="5715" t="0" r="889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314838419_©Rawpixel.com.jpg"/>
                        <pic:cNvPicPr/>
                      </pic:nvPicPr>
                      <pic:blipFill>
                        <a:blip r:embed="rId12">
                          <a:grayscl/>
                          <a:alphaModFix amt="30000"/>
                          <a:extLst>
                            <a:ext uri="{28A0092B-C50C-407E-A947-70E740481C1C}">
                              <a14:useLocalDpi xmlns:a14="http://schemas.microsoft.com/office/drawing/2010/main" val="0"/>
                            </a:ext>
                          </a:extLst>
                        </a:blip>
                        <a:stretch>
                          <a:fillRect/>
                        </a:stretch>
                      </pic:blipFill>
                      <pic:spPr>
                        <a:xfrm rot="5400000">
                          <a:off x="0" y="0"/>
                          <a:ext cx="11478258" cy="7656689"/>
                        </a:xfrm>
                        <a:prstGeom prst="rect">
                          <a:avLst/>
                        </a:prstGeom>
                      </pic:spPr>
                    </pic:pic>
                  </a:graphicData>
                </a:graphic>
                <wp14:sizeRelH relativeFrom="margin">
                  <wp14:pctWidth>0</wp14:pctWidth>
                </wp14:sizeRelH>
                <wp14:sizeRelV relativeFrom="margin">
                  <wp14:pctHeight>0</wp14:pctHeight>
                </wp14:sizeRelV>
              </wp:anchor>
            </w:drawing>
          </w:r>
          <w:r w:rsidR="00782DFF" w:rsidRPr="001A6AF1">
            <w:rPr>
              <w:rFonts w:asciiTheme="majorHAnsi" w:eastAsiaTheme="majorEastAsia" w:hAnsiTheme="majorHAnsi" w:cstheme="majorHAnsi"/>
              <w:b/>
              <w:bCs/>
              <w:noProof/>
            </w:rPr>
            <mc:AlternateContent>
              <mc:Choice Requires="wps">
                <w:drawing>
                  <wp:anchor distT="0" distB="0" distL="114300" distR="114300" simplePos="0" relativeHeight="251659264" behindDoc="0" locked="0" layoutInCell="1" allowOverlap="1" wp14:anchorId="7D4F3C5C" wp14:editId="183AA5B5">
                    <wp:simplePos x="0" y="0"/>
                    <wp:positionH relativeFrom="column">
                      <wp:posOffset>914400</wp:posOffset>
                    </wp:positionH>
                    <wp:positionV relativeFrom="paragraph">
                      <wp:posOffset>271145</wp:posOffset>
                    </wp:positionV>
                    <wp:extent cx="4000500" cy="2400300"/>
                    <wp:effectExtent l="0" t="0" r="12700" b="12700"/>
                    <wp:wrapThrough wrapText="bothSides">
                      <wp:wrapPolygon edited="0">
                        <wp:start x="0" y="0"/>
                        <wp:lineTo x="0" y="21486"/>
                        <wp:lineTo x="21531" y="21486"/>
                        <wp:lineTo x="21531" y="0"/>
                        <wp:lineTo x="0" y="0"/>
                      </wp:wrapPolygon>
                    </wp:wrapThrough>
                    <wp:docPr id="7" name="Rectangle 7"/>
                    <wp:cNvGraphicFramePr/>
                    <a:graphic xmlns:a="http://schemas.openxmlformats.org/drawingml/2006/main">
                      <a:graphicData uri="http://schemas.microsoft.com/office/word/2010/wordprocessingShape">
                        <wps:wsp>
                          <wps:cNvSpPr/>
                          <wps:spPr>
                            <a:xfrm>
                              <a:off x="0" y="0"/>
                              <a:ext cx="4000500" cy="2400300"/>
                            </a:xfrm>
                            <a:prstGeom prst="rect">
                              <a:avLst/>
                            </a:prstGeom>
                            <a:solidFill>
                              <a:srgbClr val="00A8C0">
                                <a:alpha val="84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212A10" w14:textId="48F10C1D" w:rsidR="007435C7" w:rsidRPr="00CB3B5E" w:rsidRDefault="008D3D87" w:rsidP="00CB3B5E">
                                <w:pPr>
                                  <w:pStyle w:val="Sansinterligne"/>
                                  <w:jc w:val="center"/>
                                  <w:rPr>
                                    <w:b w:val="0"/>
                                    <w:sz w:val="48"/>
                                  </w:rPr>
                                </w:pPr>
                                <w:r>
                                  <w:rPr>
                                    <w:sz w:val="48"/>
                                  </w:rPr>
                                  <w:br/>
                                </w:r>
                                <w:r w:rsidR="00CB3B5E" w:rsidRPr="00CB3B5E">
                                  <w:rPr>
                                    <w:sz w:val="48"/>
                                  </w:rPr>
                                  <w:t xml:space="preserve">LE RECOURS AU </w:t>
                                </w:r>
                                <w:r w:rsidR="00CB3B5E">
                                  <w:rPr>
                                    <w:sz w:val="48"/>
                                  </w:rPr>
                                  <w:br/>
                                </w:r>
                                <w:r w:rsidR="00CB3B5E" w:rsidRPr="00CB3B5E">
                                  <w:rPr>
                                    <w:sz w:val="48"/>
                                  </w:rPr>
                                  <w:t>CREDIT-BAIL IMMOBILIER DANS L’ENSEIGNEMENT CATHOLIQUE</w:t>
                                </w:r>
                              </w:p>
                            </w:txbxContent>
                          </wps:txbx>
                          <wps:bodyPr rot="0" spcFirstLastPara="0" vertOverflow="overflow" horzOverflow="overflow" vert="horz" wrap="square" lIns="360000" tIns="0" rIns="18000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D4F3C5C" id="Rectangle 7" o:spid="_x0000_s1028" style="position:absolute;margin-left:1in;margin-top:21.35pt;width:315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" fillcolor="#00a8c0" stroked="f">
                    <v:fill opacity="54998f"/>
                    <v:textbox inset="10mm,0,5mm,5mm">
                      <w:txbxContent>
                        <w:p w14:paraId="03212A10" w14:textId="48F10C1D" w:rsidR="007435C7" w:rsidRPr="00CB3B5E" w:rsidRDefault="008D3D87" w:rsidP="00CB3B5E">
                          <w:pPr>
                            <w:pStyle w:val="Sansinterligne"/>
                            <w:jc w:val="center"/>
                            <w:rPr>
                              <w:b w:val="0"/>
                              <w:sz w:val="48"/>
                            </w:rPr>
                          </w:pPr>
                          <w:r>
                            <w:rPr>
                              <w:sz w:val="48"/>
                            </w:rPr>
                            <w:br/>
                          </w:r>
                          <w:r w:rsidR="00CB3B5E" w:rsidRPr="00CB3B5E">
                            <w:rPr>
                              <w:sz w:val="48"/>
                            </w:rPr>
                            <w:t xml:space="preserve">LE RECOURS AU </w:t>
                          </w:r>
                          <w:r w:rsidR="00CB3B5E">
                            <w:rPr>
                              <w:sz w:val="48"/>
                            </w:rPr>
                            <w:br/>
                          </w:r>
                          <w:r w:rsidR="00CB3B5E" w:rsidRPr="00CB3B5E">
                            <w:rPr>
                              <w:sz w:val="48"/>
                            </w:rPr>
                            <w:t>CREDIT</w:t>
                          </w:r>
                          <w:r w:rsidR="00CB3B5E" w:rsidRPr="00CB3B5E">
                            <w:rPr>
                              <w:sz w:val="48"/>
                            </w:rPr>
                            <w:t>-</w:t>
                          </w:r>
                          <w:r w:rsidR="00CB3B5E" w:rsidRPr="00CB3B5E">
                            <w:rPr>
                              <w:sz w:val="48"/>
                            </w:rPr>
                            <w:t>BAIL IMMOBILIER DANS L’ENSEIGNEMENT CATHOLIQUE</w:t>
                          </w:r>
                        </w:p>
                      </w:txbxContent>
                    </v:textbox>
                    <w10:wrap type="through"/>
                  </v:rect>
                </w:pict>
              </mc:Fallback>
            </mc:AlternateContent>
          </w:r>
          <w:r w:rsidR="00A9743A" w:rsidRPr="001A6AF1">
            <w:rPr>
              <w:rFonts w:asciiTheme="majorHAnsi" w:eastAsiaTheme="majorEastAsia" w:hAnsiTheme="majorHAnsi" w:cstheme="majorHAnsi"/>
              <w:b/>
              <w:bCs/>
            </w:rPr>
            <w:br w:type="page"/>
          </w:r>
        </w:p>
      </w:sdtContent>
    </w:sdt>
    <w:p w14:paraId="65868DA2" w14:textId="335ABA95" w:rsidR="001D7502" w:rsidRPr="001A6AF1" w:rsidRDefault="001D7502" w:rsidP="007A3EF4">
      <w:pPr>
        <w:spacing w:after="120" w:line="276" w:lineRule="auto"/>
        <w:ind w:firstLine="0"/>
        <w:jc w:val="both"/>
        <w:rPr>
          <w:rFonts w:asciiTheme="majorHAnsi" w:hAnsiTheme="majorHAnsi" w:cstheme="majorHAnsi"/>
        </w:rPr>
      </w:pPr>
      <w:r w:rsidRPr="001A6AF1">
        <w:rPr>
          <w:rFonts w:asciiTheme="majorHAnsi" w:hAnsiTheme="majorHAnsi" w:cstheme="majorHAnsi"/>
        </w:rPr>
        <w:lastRenderedPageBreak/>
        <w:t xml:space="preserve">Le crédit-bail immobilier </w:t>
      </w:r>
      <w:r w:rsidR="005B3D2C">
        <w:rPr>
          <w:rFonts w:asciiTheme="majorHAnsi" w:hAnsiTheme="majorHAnsi" w:cstheme="majorHAnsi"/>
        </w:rPr>
        <w:t xml:space="preserve">(CBI) </w:t>
      </w:r>
      <w:r w:rsidRPr="001A6AF1">
        <w:rPr>
          <w:rFonts w:asciiTheme="majorHAnsi" w:hAnsiTheme="majorHAnsi" w:cstheme="majorHAnsi"/>
        </w:rPr>
        <w:t xml:space="preserve">est un produit </w:t>
      </w:r>
      <w:r w:rsidRPr="00CE63F2">
        <w:rPr>
          <w:rFonts w:asciiTheme="majorHAnsi" w:hAnsiTheme="majorHAnsi" w:cstheme="majorHAnsi"/>
          <w:b/>
        </w:rPr>
        <w:t>peu adapté</w:t>
      </w:r>
      <w:r w:rsidRPr="001A6AF1">
        <w:rPr>
          <w:rFonts w:asciiTheme="majorHAnsi" w:hAnsiTheme="majorHAnsi" w:cstheme="majorHAnsi"/>
        </w:rPr>
        <w:t xml:space="preserve"> aux O</w:t>
      </w:r>
      <w:r w:rsidR="00CC32D5">
        <w:rPr>
          <w:rFonts w:asciiTheme="majorHAnsi" w:hAnsiTheme="majorHAnsi" w:cstheme="majorHAnsi"/>
        </w:rPr>
        <w:t>gec</w:t>
      </w:r>
      <w:r w:rsidRPr="001A6AF1">
        <w:rPr>
          <w:rFonts w:asciiTheme="majorHAnsi" w:hAnsiTheme="majorHAnsi" w:cstheme="majorHAnsi"/>
        </w:rPr>
        <w:t xml:space="preserve"> </w:t>
      </w:r>
      <w:r w:rsidR="00C12401">
        <w:rPr>
          <w:rFonts w:asciiTheme="majorHAnsi" w:hAnsiTheme="majorHAnsi" w:cstheme="majorHAnsi"/>
        </w:rPr>
        <w:t xml:space="preserve">mais </w:t>
      </w:r>
      <w:r w:rsidR="007272D2">
        <w:rPr>
          <w:rFonts w:asciiTheme="majorHAnsi" w:hAnsiTheme="majorHAnsi" w:cstheme="majorHAnsi"/>
        </w:rPr>
        <w:t>aussi</w:t>
      </w:r>
      <w:r w:rsidR="00AC6EA7">
        <w:rPr>
          <w:rFonts w:asciiTheme="majorHAnsi" w:hAnsiTheme="majorHAnsi" w:cstheme="majorHAnsi"/>
        </w:rPr>
        <w:t xml:space="preserve"> aux</w:t>
      </w:r>
      <w:r w:rsidRPr="001A6AF1">
        <w:rPr>
          <w:rFonts w:asciiTheme="majorHAnsi" w:hAnsiTheme="majorHAnsi" w:cstheme="majorHAnsi"/>
        </w:rPr>
        <w:t xml:space="preserve"> </w:t>
      </w:r>
      <w:r w:rsidR="007272D2">
        <w:rPr>
          <w:rFonts w:asciiTheme="majorHAnsi" w:hAnsiTheme="majorHAnsi" w:cstheme="majorHAnsi"/>
        </w:rPr>
        <w:t xml:space="preserve">associations telles que les </w:t>
      </w:r>
      <w:r w:rsidRPr="001A6AF1">
        <w:rPr>
          <w:rFonts w:asciiTheme="majorHAnsi" w:hAnsiTheme="majorHAnsi" w:cstheme="majorHAnsi"/>
        </w:rPr>
        <w:t>associations immobilières diocésaines</w:t>
      </w:r>
      <w:r w:rsidR="007272D2">
        <w:rPr>
          <w:rFonts w:asciiTheme="majorHAnsi" w:hAnsiTheme="majorHAnsi" w:cstheme="majorHAnsi"/>
        </w:rPr>
        <w:t xml:space="preserve"> par exemple,</w:t>
      </w:r>
      <w:r w:rsidRPr="001A6AF1">
        <w:rPr>
          <w:rFonts w:asciiTheme="majorHAnsi" w:hAnsiTheme="majorHAnsi" w:cstheme="majorHAnsi"/>
        </w:rPr>
        <w:t xml:space="preserve"> dans la mesure où :</w:t>
      </w:r>
    </w:p>
    <w:p w14:paraId="75F47CFB" w14:textId="7B045C16" w:rsidR="001D7502" w:rsidRPr="001A6AF1" w:rsidRDefault="001D7502" w:rsidP="007A3EF4">
      <w:pPr>
        <w:pStyle w:val="Titre3"/>
        <w:spacing w:after="120"/>
      </w:pPr>
      <w:r w:rsidRPr="001A6AF1">
        <w:rPr>
          <w:b/>
        </w:rPr>
        <w:t>Il s’agit d’un produit juridiquement complexe</w:t>
      </w:r>
      <w:r w:rsidRPr="001A6AF1">
        <w:t xml:space="preserve"> à manier, qui suppose des compétences en droit immobilier en particulier</w:t>
      </w:r>
      <w:r w:rsidR="00CE63F2">
        <w:t>,</w:t>
      </w:r>
      <w:r w:rsidRPr="001A6AF1">
        <w:t xml:space="preserve"> dont ne disposent pas tous les O</w:t>
      </w:r>
      <w:r w:rsidR="00034A16">
        <w:t>gec</w:t>
      </w:r>
      <w:r w:rsidRPr="001A6AF1">
        <w:t>, ni même les U</w:t>
      </w:r>
      <w:r w:rsidR="00034A16">
        <w:t>dogec</w:t>
      </w:r>
      <w:r w:rsidRPr="001A6AF1">
        <w:t> ;</w:t>
      </w:r>
    </w:p>
    <w:p w14:paraId="3F6B900F" w14:textId="0D3758D7" w:rsidR="001D7502" w:rsidRPr="001A6AF1" w:rsidRDefault="001D7502" w:rsidP="007A3EF4">
      <w:pPr>
        <w:pStyle w:val="Titre3"/>
        <w:spacing w:after="120"/>
      </w:pPr>
      <w:r w:rsidRPr="001A6AF1">
        <w:rPr>
          <w:b/>
        </w:rPr>
        <w:t>D’un point de vue financier, les niveaux de taux sont sensiblement les mêmes</w:t>
      </w:r>
      <w:r w:rsidRPr="001A6AF1">
        <w:t xml:space="preserve"> entre le CBI et le crédit hypothécaire classique. Les durées sont également les mêmes, dans la mesure où l’on peut financer</w:t>
      </w:r>
      <w:r w:rsidR="006121AE">
        <w:t xml:space="preserve"> </w:t>
      </w:r>
      <w:r w:rsidR="001B0236">
        <w:t>l’investissement</w:t>
      </w:r>
      <w:r w:rsidRPr="001A6AF1">
        <w:t xml:space="preserve"> </w:t>
      </w:r>
      <w:r w:rsidR="006121AE">
        <w:t>sur</w:t>
      </w:r>
      <w:r w:rsidRPr="001A6AF1">
        <w:t xml:space="preserve"> 20 ans (exceptionnellement au-delà) dans les deux cas. L’unique intérêt du CBI est de prendre en charge un financement à 100% (incluant terrain, </w:t>
      </w:r>
      <w:r w:rsidRPr="001A6AF1">
        <w:rPr>
          <w:i/>
        </w:rPr>
        <w:t>frais d'acquisition</w:t>
      </w:r>
      <w:r w:rsidRPr="001A6AF1">
        <w:t xml:space="preserve">, construction, VRD, </w:t>
      </w:r>
      <w:r w:rsidRPr="001A6AF1">
        <w:rPr>
          <w:i/>
        </w:rPr>
        <w:t>honoraires, assurances construction</w:t>
      </w:r>
      <w:r w:rsidRPr="001A6AF1">
        <w:t>, TVA…), plus difficile à négocier en crédit classique ;</w:t>
      </w:r>
    </w:p>
    <w:p w14:paraId="1C82786D" w14:textId="3C946391" w:rsidR="001D7502" w:rsidRPr="001A6AF1" w:rsidRDefault="001D7502" w:rsidP="007A3EF4">
      <w:pPr>
        <w:pStyle w:val="Titre3"/>
        <w:spacing w:after="120"/>
      </w:pPr>
      <w:r w:rsidRPr="001A6AF1">
        <w:t xml:space="preserve">Le CBI est, dans une entreprise industrielle ou de services, un outil d’optimisation comptable, financière et fiscale. Dans la mesure où </w:t>
      </w:r>
      <w:r w:rsidRPr="001A6AF1">
        <w:rPr>
          <w:b/>
        </w:rPr>
        <w:t>les O</w:t>
      </w:r>
      <w:r w:rsidR="008546F7">
        <w:rPr>
          <w:b/>
        </w:rPr>
        <w:t>gec</w:t>
      </w:r>
      <w:r w:rsidRPr="001A6AF1">
        <w:rPr>
          <w:b/>
        </w:rPr>
        <w:t xml:space="preserve"> sont des associations loi 1901</w:t>
      </w:r>
      <w:r w:rsidRPr="001A6AF1">
        <w:t xml:space="preserve">, non soumises à l’IS, et que les problématiques « d’habillage de bilan » ne </w:t>
      </w:r>
      <w:r w:rsidR="008546F7">
        <w:t>les</w:t>
      </w:r>
      <w:r w:rsidRPr="001A6AF1">
        <w:t xml:space="preserve"> concernent pas, ce dernier point </w:t>
      </w:r>
      <w:r w:rsidR="00761960">
        <w:t>ne trouve pas à s’appliquer pour les Ogec</w:t>
      </w:r>
      <w:r w:rsidRPr="001A6AF1">
        <w:t>.</w:t>
      </w:r>
    </w:p>
    <w:p w14:paraId="5452B36E" w14:textId="243D58DF" w:rsidR="001D7502" w:rsidRPr="001A6AF1" w:rsidRDefault="001D7502" w:rsidP="00034A16">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Notons néanmoins que toutes les </w:t>
      </w:r>
      <w:r w:rsidR="00D86F8E">
        <w:rPr>
          <w:rFonts w:asciiTheme="majorHAnsi" w:hAnsiTheme="majorHAnsi" w:cstheme="majorHAnsi"/>
        </w:rPr>
        <w:t>entités</w:t>
      </w:r>
      <w:r w:rsidRPr="001A6AF1">
        <w:rPr>
          <w:rFonts w:asciiTheme="majorHAnsi" w:hAnsiTheme="majorHAnsi" w:cstheme="majorHAnsi"/>
        </w:rPr>
        <w:t xml:space="preserve">, quelle que soit leur forme juridique, peuvent solliciter un crédit-bail. Elles peuvent le faire à n'importe quel stade de leur vie : </w:t>
      </w:r>
      <w:r w:rsidR="00891A78">
        <w:rPr>
          <w:rFonts w:asciiTheme="majorHAnsi" w:hAnsiTheme="majorHAnsi" w:cstheme="majorHAnsi"/>
        </w:rPr>
        <w:t>lors</w:t>
      </w:r>
      <w:r w:rsidRPr="001A6AF1">
        <w:rPr>
          <w:rFonts w:asciiTheme="majorHAnsi" w:hAnsiTheme="majorHAnsi" w:cstheme="majorHAnsi"/>
        </w:rPr>
        <w:t xml:space="preserve"> de </w:t>
      </w:r>
      <w:r w:rsidR="00891A78">
        <w:rPr>
          <w:rFonts w:asciiTheme="majorHAnsi" w:hAnsiTheme="majorHAnsi" w:cstheme="majorHAnsi"/>
        </w:rPr>
        <w:t xml:space="preserve">leur </w:t>
      </w:r>
      <w:r w:rsidRPr="001A6AF1">
        <w:rPr>
          <w:rFonts w:asciiTheme="majorHAnsi" w:hAnsiTheme="majorHAnsi" w:cstheme="majorHAnsi"/>
        </w:rPr>
        <w:t xml:space="preserve">création comme </w:t>
      </w:r>
      <w:r w:rsidR="00891A78">
        <w:rPr>
          <w:rFonts w:asciiTheme="majorHAnsi" w:hAnsiTheme="majorHAnsi" w:cstheme="majorHAnsi"/>
        </w:rPr>
        <w:t>au</w:t>
      </w:r>
      <w:r w:rsidRPr="001A6AF1">
        <w:rPr>
          <w:rFonts w:asciiTheme="majorHAnsi" w:hAnsiTheme="majorHAnsi" w:cstheme="majorHAnsi"/>
        </w:rPr>
        <w:t xml:space="preserve"> cours de </w:t>
      </w:r>
      <w:r w:rsidR="00891A78">
        <w:rPr>
          <w:rFonts w:asciiTheme="majorHAnsi" w:hAnsiTheme="majorHAnsi" w:cstheme="majorHAnsi"/>
        </w:rPr>
        <w:t xml:space="preserve">leur </w:t>
      </w:r>
      <w:r w:rsidRPr="001A6AF1">
        <w:rPr>
          <w:rFonts w:asciiTheme="majorHAnsi" w:hAnsiTheme="majorHAnsi" w:cstheme="majorHAnsi"/>
        </w:rPr>
        <w:t>développement.</w:t>
      </w:r>
    </w:p>
    <w:p w14:paraId="03BA67E5" w14:textId="3FB4CE72" w:rsidR="001D7502" w:rsidRDefault="001D7502" w:rsidP="00535CC4">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Nous présentons en annexe de </w:t>
      </w:r>
      <w:r w:rsidR="0041505D">
        <w:rPr>
          <w:rFonts w:asciiTheme="majorHAnsi" w:hAnsiTheme="majorHAnsi" w:cstheme="majorHAnsi"/>
        </w:rPr>
        <w:t>cette</w:t>
      </w:r>
      <w:r w:rsidRPr="001A6AF1">
        <w:rPr>
          <w:rFonts w:asciiTheme="majorHAnsi" w:hAnsiTheme="majorHAnsi" w:cstheme="majorHAnsi"/>
        </w:rPr>
        <w:t xml:space="preserve"> note un cas réel </w:t>
      </w:r>
      <w:r w:rsidR="000261A6">
        <w:rPr>
          <w:rFonts w:asciiTheme="majorHAnsi" w:hAnsiTheme="majorHAnsi" w:cstheme="majorHAnsi"/>
        </w:rPr>
        <w:t xml:space="preserve">anonymisé </w:t>
      </w:r>
      <w:r w:rsidRPr="001A6AF1">
        <w:rPr>
          <w:rFonts w:asciiTheme="majorHAnsi" w:hAnsiTheme="majorHAnsi" w:cstheme="majorHAnsi"/>
        </w:rPr>
        <w:t xml:space="preserve">où l’étude d’un financement par crédit-bail était </w:t>
      </w:r>
      <w:r w:rsidR="000261A6">
        <w:rPr>
          <w:rFonts w:asciiTheme="majorHAnsi" w:hAnsiTheme="majorHAnsi" w:cstheme="majorHAnsi"/>
        </w:rPr>
        <w:t>opportune</w:t>
      </w:r>
      <w:r w:rsidRPr="001A6AF1">
        <w:rPr>
          <w:rFonts w:asciiTheme="majorHAnsi" w:hAnsiTheme="majorHAnsi" w:cstheme="majorHAnsi"/>
        </w:rPr>
        <w:t>, en l’absence de possibilité alternative en crédit classique.</w:t>
      </w:r>
    </w:p>
    <w:p w14:paraId="194ED812" w14:textId="067C9BA6" w:rsidR="00226C8A" w:rsidRDefault="008D3D87" w:rsidP="00535CC4">
      <w:pPr>
        <w:spacing w:after="120"/>
        <w:ind w:firstLine="0"/>
      </w:pPr>
      <w:r>
        <w:rPr>
          <w:rFonts w:asciiTheme="majorHAnsi" w:hAnsiTheme="majorHAnsi" w:cstheme="majorHAnsi"/>
        </w:rPr>
        <w:t xml:space="preserve">Toutefois, </w:t>
      </w:r>
      <w:r w:rsidR="00E06E87">
        <w:t xml:space="preserve">la </w:t>
      </w:r>
      <w:proofErr w:type="spellStart"/>
      <w:r w:rsidR="00E06E87">
        <w:t>Fnogec</w:t>
      </w:r>
      <w:proofErr w:type="spellEnd"/>
      <w:r w:rsidRPr="001A6AF1">
        <w:t xml:space="preserve"> préconis</w:t>
      </w:r>
      <w:r w:rsidR="00E06E87">
        <w:t>e</w:t>
      </w:r>
      <w:r w:rsidRPr="001A6AF1">
        <w:t xml:space="preserve"> </w:t>
      </w:r>
      <w:r w:rsidR="00366879">
        <w:t xml:space="preserve">aux Ogec </w:t>
      </w:r>
      <w:r w:rsidRPr="001A6AF1">
        <w:t xml:space="preserve">de </w:t>
      </w:r>
      <w:r w:rsidRPr="00535CC4">
        <w:rPr>
          <w:b/>
        </w:rPr>
        <w:t>n’étudier ce produit financier que dans le cadre d’opérations de construction</w:t>
      </w:r>
      <w:r w:rsidR="00112F7F">
        <w:rPr>
          <w:b/>
        </w:rPr>
        <w:t>s</w:t>
      </w:r>
      <w:r w:rsidRPr="00535CC4">
        <w:rPr>
          <w:b/>
        </w:rPr>
        <w:t xml:space="preserve"> neuve</w:t>
      </w:r>
      <w:r w:rsidR="00112F7F">
        <w:rPr>
          <w:b/>
        </w:rPr>
        <w:t>s</w:t>
      </w:r>
      <w:r w:rsidRPr="00535CC4">
        <w:rPr>
          <w:b/>
        </w:rPr>
        <w:t xml:space="preserve"> d’envergure exceptionnelle</w:t>
      </w:r>
      <w:r w:rsidRPr="001A6AF1">
        <w:t xml:space="preserve">. </w:t>
      </w:r>
    </w:p>
    <w:p w14:paraId="626A8A40" w14:textId="1820D447" w:rsidR="008D3D87" w:rsidRPr="00202C4B" w:rsidRDefault="00413AA3" w:rsidP="00756A17">
      <w:pPr>
        <w:pStyle w:val="Titre4"/>
      </w:pPr>
      <w:r w:rsidRPr="00202C4B">
        <w:rPr>
          <w:caps w:val="0"/>
        </w:rPr>
        <w:t xml:space="preserve">Le crédit classique avec garantie hypothécaire le cas échéant </w:t>
      </w:r>
      <w:r w:rsidR="00B85C41">
        <w:br/>
      </w:r>
      <w:r w:rsidR="008D3D87" w:rsidRPr="00202C4B">
        <w:t>(</w:t>
      </w:r>
      <w:r>
        <w:rPr>
          <w:caps w:val="0"/>
        </w:rPr>
        <w:t xml:space="preserve">après </w:t>
      </w:r>
      <w:r w:rsidRPr="00202C4B">
        <w:rPr>
          <w:caps w:val="0"/>
        </w:rPr>
        <w:t>valid</w:t>
      </w:r>
      <w:r>
        <w:rPr>
          <w:caps w:val="0"/>
        </w:rPr>
        <w:t>ation</w:t>
      </w:r>
      <w:r w:rsidRPr="00202C4B">
        <w:rPr>
          <w:caps w:val="0"/>
        </w:rPr>
        <w:t xml:space="preserve"> par le CEAS</w:t>
      </w:r>
      <w:r w:rsidR="00B03C8F">
        <w:rPr>
          <w:rStyle w:val="Appelnotedebasdep"/>
        </w:rPr>
        <w:footnoteReference w:id="1"/>
      </w:r>
      <w:r w:rsidRPr="00202C4B">
        <w:rPr>
          <w:caps w:val="0"/>
        </w:rPr>
        <w:t>) doit rester la norme.</w:t>
      </w:r>
    </w:p>
    <w:p w14:paraId="21306302" w14:textId="1FC1DEF0" w:rsidR="001D7502" w:rsidRDefault="001D7502" w:rsidP="007A3EF4">
      <w:pPr>
        <w:spacing w:after="120" w:line="276" w:lineRule="auto"/>
        <w:jc w:val="both"/>
        <w:rPr>
          <w:rFonts w:asciiTheme="majorHAnsi" w:hAnsiTheme="majorHAnsi" w:cstheme="majorHAnsi"/>
        </w:rPr>
      </w:pPr>
    </w:p>
    <w:p w14:paraId="6B926F9B" w14:textId="7802F573" w:rsidR="00C54DD5" w:rsidRDefault="00C54DD5" w:rsidP="00750B4E">
      <w:pPr>
        <w:spacing w:after="120" w:line="276" w:lineRule="auto"/>
        <w:rPr>
          <w:rFonts w:asciiTheme="majorHAnsi" w:hAnsiTheme="majorHAnsi" w:cstheme="majorHAnsi"/>
        </w:rPr>
      </w:pPr>
      <w:r w:rsidRPr="00756A17">
        <w:rPr>
          <w:rFonts w:asciiTheme="majorHAnsi" w:hAnsiTheme="majorHAnsi" w:cstheme="majorHAnsi"/>
          <w:u w:val="single"/>
        </w:rPr>
        <w:t>Sommaire</w:t>
      </w:r>
      <w:r w:rsidR="00756A17">
        <w:rPr>
          <w:rFonts w:asciiTheme="majorHAnsi" w:hAnsiTheme="majorHAnsi" w:cstheme="majorHAnsi"/>
        </w:rPr>
        <w:t> :</w:t>
      </w:r>
    </w:p>
    <w:tbl>
      <w:tblPr>
        <w:tblStyle w:val="Grilledutableau"/>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093"/>
        <w:gridCol w:w="851"/>
      </w:tblGrid>
      <w:tr w:rsidR="00750B4E" w:rsidRPr="00756A17" w14:paraId="2DF3524D" w14:textId="77777777" w:rsidTr="00756A17">
        <w:tc>
          <w:tcPr>
            <w:tcW w:w="562" w:type="dxa"/>
          </w:tcPr>
          <w:p w14:paraId="4BE8D416" w14:textId="0557753D" w:rsidR="00750B4E" w:rsidRPr="00756A17" w:rsidRDefault="00750B4E" w:rsidP="00500662">
            <w:pPr>
              <w:spacing w:before="40" w:after="40"/>
              <w:ind w:firstLine="0"/>
              <w:jc w:val="center"/>
              <w:rPr>
                <w:sz w:val="24"/>
              </w:rPr>
            </w:pPr>
            <w:r w:rsidRPr="00756A17">
              <w:rPr>
                <w:sz w:val="24"/>
              </w:rPr>
              <w:t>I</w:t>
            </w:r>
          </w:p>
        </w:tc>
        <w:tc>
          <w:tcPr>
            <w:tcW w:w="7093" w:type="dxa"/>
          </w:tcPr>
          <w:p w14:paraId="0A0130ED" w14:textId="7DCD66AC" w:rsidR="00750B4E" w:rsidRPr="00756A17" w:rsidRDefault="00750B4E" w:rsidP="00500662">
            <w:pPr>
              <w:spacing w:before="40" w:after="40"/>
              <w:ind w:firstLine="0"/>
              <w:rPr>
                <w:sz w:val="24"/>
              </w:rPr>
            </w:pPr>
            <w:r w:rsidRPr="00756A17">
              <w:rPr>
                <w:sz w:val="24"/>
              </w:rPr>
              <w:t>Crédit-bail immobilier : considérations générales</w:t>
            </w:r>
          </w:p>
        </w:tc>
        <w:tc>
          <w:tcPr>
            <w:tcW w:w="851" w:type="dxa"/>
          </w:tcPr>
          <w:p w14:paraId="6ABE9F54" w14:textId="77777777" w:rsidR="00750B4E" w:rsidRPr="00756A17" w:rsidRDefault="00750B4E" w:rsidP="00500662">
            <w:pPr>
              <w:spacing w:before="40" w:after="40"/>
              <w:ind w:firstLine="0"/>
              <w:jc w:val="center"/>
              <w:rPr>
                <w:sz w:val="24"/>
              </w:rPr>
            </w:pPr>
            <w:r w:rsidRPr="00756A17">
              <w:rPr>
                <w:sz w:val="24"/>
              </w:rPr>
              <w:t>p. 3</w:t>
            </w:r>
          </w:p>
        </w:tc>
      </w:tr>
      <w:tr w:rsidR="00750B4E" w:rsidRPr="00756A17" w14:paraId="262AB81F" w14:textId="77777777" w:rsidTr="00756A17">
        <w:tc>
          <w:tcPr>
            <w:tcW w:w="562" w:type="dxa"/>
          </w:tcPr>
          <w:p w14:paraId="034257A4" w14:textId="3D499F8D" w:rsidR="00750B4E" w:rsidRPr="00756A17" w:rsidRDefault="00750B4E" w:rsidP="00500662">
            <w:pPr>
              <w:spacing w:before="40" w:after="40"/>
              <w:ind w:firstLine="0"/>
              <w:jc w:val="center"/>
              <w:rPr>
                <w:sz w:val="24"/>
                <w:lang w:eastAsia="en-US"/>
              </w:rPr>
            </w:pPr>
            <w:r w:rsidRPr="00756A17">
              <w:rPr>
                <w:sz w:val="24"/>
                <w:lang w:eastAsia="en-US"/>
              </w:rPr>
              <w:t>II</w:t>
            </w:r>
          </w:p>
        </w:tc>
        <w:tc>
          <w:tcPr>
            <w:tcW w:w="7093" w:type="dxa"/>
          </w:tcPr>
          <w:p w14:paraId="6AA92651" w14:textId="18D6CB4F" w:rsidR="00750B4E" w:rsidRPr="00756A17" w:rsidRDefault="00750B4E" w:rsidP="00500662">
            <w:pPr>
              <w:spacing w:before="40" w:after="40"/>
              <w:ind w:firstLine="0"/>
              <w:rPr>
                <w:sz w:val="24"/>
                <w:lang w:eastAsia="en-US"/>
              </w:rPr>
            </w:pPr>
            <w:r w:rsidRPr="00756A17">
              <w:rPr>
                <w:sz w:val="24"/>
                <w:lang w:eastAsia="en-US"/>
              </w:rPr>
              <w:t>Aspects financiers</w:t>
            </w:r>
          </w:p>
        </w:tc>
        <w:tc>
          <w:tcPr>
            <w:tcW w:w="851" w:type="dxa"/>
          </w:tcPr>
          <w:p w14:paraId="762FE32A" w14:textId="77777777" w:rsidR="00750B4E" w:rsidRPr="00756A17" w:rsidRDefault="00750B4E" w:rsidP="00500662">
            <w:pPr>
              <w:spacing w:before="40" w:after="40"/>
              <w:ind w:firstLine="0"/>
              <w:jc w:val="center"/>
              <w:rPr>
                <w:sz w:val="24"/>
                <w:lang w:eastAsia="en-US"/>
              </w:rPr>
            </w:pPr>
            <w:r w:rsidRPr="00756A17">
              <w:rPr>
                <w:sz w:val="24"/>
                <w:lang w:eastAsia="en-US"/>
              </w:rPr>
              <w:t>p. 5</w:t>
            </w:r>
          </w:p>
        </w:tc>
      </w:tr>
      <w:tr w:rsidR="00750B4E" w:rsidRPr="00756A17" w14:paraId="3B756AAD" w14:textId="77777777" w:rsidTr="00756A17">
        <w:tc>
          <w:tcPr>
            <w:tcW w:w="562" w:type="dxa"/>
          </w:tcPr>
          <w:p w14:paraId="603C2C46" w14:textId="0A96E30E" w:rsidR="00750B4E" w:rsidRPr="00756A17" w:rsidRDefault="00750B4E" w:rsidP="00500662">
            <w:pPr>
              <w:spacing w:before="40" w:after="40"/>
              <w:ind w:firstLine="0"/>
              <w:jc w:val="center"/>
              <w:rPr>
                <w:sz w:val="24"/>
                <w:lang w:eastAsia="en-US"/>
              </w:rPr>
            </w:pPr>
            <w:r w:rsidRPr="00756A17">
              <w:rPr>
                <w:sz w:val="24"/>
                <w:lang w:eastAsia="en-US"/>
              </w:rPr>
              <w:t>III</w:t>
            </w:r>
          </w:p>
        </w:tc>
        <w:tc>
          <w:tcPr>
            <w:tcW w:w="7093" w:type="dxa"/>
          </w:tcPr>
          <w:p w14:paraId="735465D0" w14:textId="74821A30" w:rsidR="00750B4E" w:rsidRPr="00756A17" w:rsidRDefault="00750B4E" w:rsidP="00500662">
            <w:pPr>
              <w:spacing w:before="40" w:after="40"/>
              <w:ind w:firstLine="0"/>
              <w:rPr>
                <w:sz w:val="24"/>
                <w:lang w:eastAsia="en-US"/>
              </w:rPr>
            </w:pPr>
            <w:r w:rsidRPr="00756A17">
              <w:rPr>
                <w:sz w:val="24"/>
                <w:lang w:eastAsia="en-US"/>
              </w:rPr>
              <w:t xml:space="preserve">Considérations comptables et fiscales (pour mémoire et information) </w:t>
            </w:r>
          </w:p>
        </w:tc>
        <w:tc>
          <w:tcPr>
            <w:tcW w:w="851" w:type="dxa"/>
          </w:tcPr>
          <w:p w14:paraId="07D2C252" w14:textId="115B209D" w:rsidR="00750B4E" w:rsidRPr="00756A17" w:rsidRDefault="00750B4E" w:rsidP="00500662">
            <w:pPr>
              <w:spacing w:before="40" w:after="40"/>
              <w:ind w:firstLine="0"/>
              <w:jc w:val="center"/>
              <w:rPr>
                <w:sz w:val="24"/>
                <w:lang w:eastAsia="en-US"/>
              </w:rPr>
            </w:pPr>
            <w:r w:rsidRPr="00756A17">
              <w:rPr>
                <w:sz w:val="24"/>
                <w:lang w:eastAsia="en-US"/>
              </w:rPr>
              <w:t>p. 6</w:t>
            </w:r>
          </w:p>
        </w:tc>
      </w:tr>
      <w:tr w:rsidR="007640C9" w:rsidRPr="00756A17" w14:paraId="2BA41490" w14:textId="77777777" w:rsidTr="00756A17">
        <w:tc>
          <w:tcPr>
            <w:tcW w:w="562" w:type="dxa"/>
          </w:tcPr>
          <w:p w14:paraId="75599A9F" w14:textId="77777777" w:rsidR="007640C9" w:rsidRPr="00756A17" w:rsidRDefault="007640C9" w:rsidP="00500662">
            <w:pPr>
              <w:spacing w:before="40" w:after="40"/>
              <w:ind w:firstLine="0"/>
              <w:jc w:val="center"/>
              <w:rPr>
                <w:sz w:val="24"/>
                <w:lang w:eastAsia="en-US"/>
              </w:rPr>
            </w:pPr>
          </w:p>
        </w:tc>
        <w:tc>
          <w:tcPr>
            <w:tcW w:w="7093" w:type="dxa"/>
          </w:tcPr>
          <w:p w14:paraId="098DAD77" w14:textId="587598F7" w:rsidR="007640C9" w:rsidRPr="00756A17" w:rsidRDefault="007640C9" w:rsidP="00500662">
            <w:pPr>
              <w:spacing w:before="40" w:after="40"/>
              <w:ind w:firstLine="0"/>
              <w:rPr>
                <w:sz w:val="24"/>
                <w:lang w:eastAsia="en-US"/>
              </w:rPr>
            </w:pPr>
            <w:r w:rsidRPr="00756A17">
              <w:rPr>
                <w:sz w:val="24"/>
                <w:lang w:eastAsia="en-US"/>
              </w:rPr>
              <w:t>Conclusion</w:t>
            </w:r>
          </w:p>
        </w:tc>
        <w:tc>
          <w:tcPr>
            <w:tcW w:w="851" w:type="dxa"/>
          </w:tcPr>
          <w:p w14:paraId="1B4470B2" w14:textId="5D7B6F26" w:rsidR="007640C9" w:rsidRPr="00756A17" w:rsidRDefault="00610B64" w:rsidP="00500662">
            <w:pPr>
              <w:spacing w:before="40" w:after="40"/>
              <w:ind w:firstLine="0"/>
              <w:jc w:val="center"/>
              <w:rPr>
                <w:sz w:val="24"/>
                <w:lang w:eastAsia="en-US"/>
              </w:rPr>
            </w:pPr>
            <w:r w:rsidRPr="00756A17">
              <w:rPr>
                <w:sz w:val="24"/>
                <w:lang w:eastAsia="en-US"/>
              </w:rPr>
              <w:t>p. 8</w:t>
            </w:r>
          </w:p>
        </w:tc>
      </w:tr>
      <w:tr w:rsidR="00610B64" w:rsidRPr="00756A17" w14:paraId="2D856268" w14:textId="77777777" w:rsidTr="00756A17">
        <w:tc>
          <w:tcPr>
            <w:tcW w:w="562" w:type="dxa"/>
          </w:tcPr>
          <w:p w14:paraId="0C50ECA4" w14:textId="77777777" w:rsidR="00610B64" w:rsidRPr="00756A17" w:rsidRDefault="00610B64" w:rsidP="00500662">
            <w:pPr>
              <w:spacing w:before="40" w:after="40"/>
              <w:ind w:firstLine="0"/>
              <w:jc w:val="center"/>
              <w:rPr>
                <w:sz w:val="24"/>
                <w:lang w:eastAsia="en-US"/>
              </w:rPr>
            </w:pPr>
          </w:p>
        </w:tc>
        <w:tc>
          <w:tcPr>
            <w:tcW w:w="7093" w:type="dxa"/>
          </w:tcPr>
          <w:p w14:paraId="17931530" w14:textId="01FE903F" w:rsidR="00610B64" w:rsidRPr="00756A17" w:rsidRDefault="00610B64" w:rsidP="00500662">
            <w:pPr>
              <w:spacing w:before="40" w:after="40"/>
              <w:ind w:firstLine="0"/>
              <w:rPr>
                <w:sz w:val="24"/>
                <w:lang w:eastAsia="en-US"/>
              </w:rPr>
            </w:pPr>
            <w:r w:rsidRPr="00756A17">
              <w:rPr>
                <w:sz w:val="24"/>
                <w:lang w:eastAsia="en-US"/>
              </w:rPr>
              <w:t>Annexe : cas pratique</w:t>
            </w:r>
          </w:p>
        </w:tc>
        <w:tc>
          <w:tcPr>
            <w:tcW w:w="851" w:type="dxa"/>
          </w:tcPr>
          <w:p w14:paraId="00A0A277" w14:textId="4DB6CE3B" w:rsidR="00610B64" w:rsidRPr="00756A17" w:rsidRDefault="00610B64" w:rsidP="00500662">
            <w:pPr>
              <w:spacing w:before="40" w:after="40"/>
              <w:ind w:firstLine="0"/>
              <w:jc w:val="center"/>
              <w:rPr>
                <w:sz w:val="24"/>
                <w:lang w:eastAsia="en-US"/>
              </w:rPr>
            </w:pPr>
            <w:r w:rsidRPr="00756A17">
              <w:rPr>
                <w:sz w:val="24"/>
                <w:lang w:eastAsia="en-US"/>
              </w:rPr>
              <w:t>p. 9</w:t>
            </w:r>
          </w:p>
        </w:tc>
      </w:tr>
    </w:tbl>
    <w:p w14:paraId="2F4E87C0" w14:textId="72BAB022" w:rsidR="00641157" w:rsidRDefault="00641157">
      <w:pPr>
        <w:ind w:firstLine="0"/>
        <w:rPr>
          <w:rFonts w:asciiTheme="majorHAnsi" w:hAnsiTheme="majorHAnsi" w:cstheme="majorHAnsi"/>
        </w:rPr>
      </w:pPr>
      <w:r>
        <w:rPr>
          <w:rFonts w:asciiTheme="majorHAnsi" w:hAnsiTheme="majorHAnsi" w:cstheme="majorHAnsi"/>
        </w:rPr>
        <w:br w:type="page"/>
      </w:r>
    </w:p>
    <w:p w14:paraId="5852FAA6" w14:textId="00BBEB89" w:rsidR="001D7502" w:rsidRPr="001A6AF1" w:rsidRDefault="001D7502" w:rsidP="007A3EF4">
      <w:pPr>
        <w:pStyle w:val="Sansinterligne"/>
        <w:numPr>
          <w:ilvl w:val="0"/>
          <w:numId w:val="13"/>
        </w:numPr>
        <w:spacing w:after="120"/>
        <w:contextualSpacing w:val="0"/>
      </w:pPr>
      <w:r w:rsidRPr="001A6AF1">
        <w:lastRenderedPageBreak/>
        <w:t>crédit-bail immobilier</w:t>
      </w:r>
      <w:r w:rsidR="00B669D6">
        <w:t xml:space="preserve"> : </w:t>
      </w:r>
      <w:r w:rsidRPr="001A6AF1">
        <w:t>considérations générales</w:t>
      </w:r>
    </w:p>
    <w:p w14:paraId="0266919E" w14:textId="67E47BDC" w:rsidR="001D7502" w:rsidRPr="001A6AF1" w:rsidRDefault="001D7502" w:rsidP="00535CC4">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Dans un montage en crédit-bail immobilier, le crédit-bailleur, quel que soit le montage retenu (construction, achat d’un bâtiment, bail à construction, etc.) est juridiquement propriétaire du bien qu’il finance pendant la durée du contrat. Le crédit-bail immobilier sert à financer tout bien immobilier, </w:t>
      </w:r>
      <w:r w:rsidRPr="001A6AF1">
        <w:rPr>
          <w:rFonts w:asciiTheme="majorHAnsi" w:hAnsiTheme="majorHAnsi" w:cstheme="majorHAnsi"/>
          <w:i/>
        </w:rPr>
        <w:t>à usage professionnel, à construire ou existant</w:t>
      </w:r>
      <w:r w:rsidRPr="001A6AF1">
        <w:rPr>
          <w:rFonts w:asciiTheme="majorHAnsi" w:hAnsiTheme="majorHAnsi" w:cstheme="majorHAnsi"/>
        </w:rPr>
        <w:t xml:space="preserve">. Il porte sur des locaux à usage commercial, professionnel ou industriel. </w:t>
      </w:r>
      <w:r w:rsidR="006D4D00">
        <w:rPr>
          <w:rFonts w:asciiTheme="majorHAnsi" w:hAnsiTheme="majorHAnsi" w:cstheme="majorHAnsi"/>
        </w:rPr>
        <w:t>Les Ogec</w:t>
      </w:r>
      <w:r w:rsidRPr="001A6AF1">
        <w:rPr>
          <w:rFonts w:asciiTheme="majorHAnsi" w:hAnsiTheme="majorHAnsi" w:cstheme="majorHAnsi"/>
        </w:rPr>
        <w:t xml:space="preserve"> </w:t>
      </w:r>
      <w:r w:rsidR="006D4D00">
        <w:rPr>
          <w:rFonts w:asciiTheme="majorHAnsi" w:hAnsiTheme="majorHAnsi" w:cstheme="majorHAnsi"/>
        </w:rPr>
        <w:t>sont</w:t>
      </w:r>
      <w:r w:rsidRPr="001A6AF1">
        <w:rPr>
          <w:rFonts w:asciiTheme="majorHAnsi" w:hAnsiTheme="majorHAnsi" w:cstheme="majorHAnsi"/>
        </w:rPr>
        <w:t xml:space="preserve"> donc éligibles par la nature du bien financé.</w:t>
      </w:r>
    </w:p>
    <w:p w14:paraId="33ED0FAC" w14:textId="77777777" w:rsidR="001D7502" w:rsidRPr="001A6AF1" w:rsidRDefault="001D7502" w:rsidP="00DF4292">
      <w:pPr>
        <w:pStyle w:val="Titre1"/>
      </w:pPr>
      <w:r w:rsidRPr="001A6AF1">
        <w:t>Contracter en crédit-bail immobilier :</w:t>
      </w:r>
    </w:p>
    <w:p w14:paraId="287F18F2" w14:textId="1721F3D5" w:rsidR="001D7502" w:rsidRPr="001A6AF1" w:rsidRDefault="001D7502" w:rsidP="00DA3CD4">
      <w:pPr>
        <w:spacing w:after="120" w:line="276" w:lineRule="auto"/>
        <w:ind w:firstLine="0"/>
        <w:jc w:val="both"/>
        <w:rPr>
          <w:rFonts w:asciiTheme="majorHAnsi" w:hAnsiTheme="majorHAnsi" w:cstheme="majorHAnsi"/>
        </w:rPr>
      </w:pPr>
      <w:r w:rsidRPr="001A6AF1">
        <w:rPr>
          <w:rFonts w:asciiTheme="majorHAnsi" w:hAnsiTheme="majorHAnsi" w:cstheme="majorHAnsi"/>
        </w:rPr>
        <w:t>Une société de crédit-bail achète le bien construit, ou finance le bien à construire (le terrain si besoin est, et la construction). Dans le cas d’une construction, l'entreprise locataire (« crédit-preneur ») conserve la mainmise sur la maîtrise d'ouvrage. Pendant cette période, la société de crédit-bail immobilier pa</w:t>
      </w:r>
      <w:r w:rsidR="00D809D7">
        <w:rPr>
          <w:rFonts w:asciiTheme="majorHAnsi" w:hAnsiTheme="majorHAnsi" w:cstheme="majorHAnsi"/>
        </w:rPr>
        <w:t>i</w:t>
      </w:r>
      <w:r w:rsidRPr="001A6AF1">
        <w:rPr>
          <w:rFonts w:asciiTheme="majorHAnsi" w:hAnsiTheme="majorHAnsi" w:cstheme="majorHAnsi"/>
        </w:rPr>
        <w:t>e les travaux. En parallèle, l'entreprise paie des pré-loyers correspondant aux intérêts sur les décaissements qu'effectue la société de crédit-bail. Pendant la durée du contrat, l'entreprise devra assumer les différentes charges de l'immeuble (entretien, assurance</w:t>
      </w:r>
      <w:r w:rsidR="00535CC4">
        <w:rPr>
          <w:rFonts w:asciiTheme="majorHAnsi" w:hAnsiTheme="majorHAnsi" w:cstheme="majorHAnsi"/>
        </w:rPr>
        <w:t>s</w:t>
      </w:r>
      <w:r w:rsidRPr="001A6AF1">
        <w:rPr>
          <w:rFonts w:asciiTheme="majorHAnsi" w:hAnsiTheme="majorHAnsi" w:cstheme="majorHAnsi"/>
        </w:rPr>
        <w:t xml:space="preserve">, impôts...). </w:t>
      </w:r>
    </w:p>
    <w:p w14:paraId="6EF6EFDC" w14:textId="77777777" w:rsidR="001D7502" w:rsidRPr="001A6AF1" w:rsidRDefault="001D7502" w:rsidP="00DF4292">
      <w:pPr>
        <w:pStyle w:val="Titre1"/>
      </w:pPr>
      <w:r w:rsidRPr="001A6AF1">
        <w:t>A l’issue du crédit-bail :</w:t>
      </w:r>
    </w:p>
    <w:p w14:paraId="125CC163" w14:textId="6F7FAEC7" w:rsidR="001D7502" w:rsidRPr="001A6AF1" w:rsidRDefault="001D7502" w:rsidP="004B3AFF">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En fin de contrat, </w:t>
      </w:r>
      <w:r w:rsidR="00874C63">
        <w:rPr>
          <w:rFonts w:asciiTheme="majorHAnsi" w:hAnsiTheme="majorHAnsi" w:cstheme="majorHAnsi"/>
        </w:rPr>
        <w:t xml:space="preserve">le </w:t>
      </w:r>
      <w:r w:rsidRPr="001A6AF1">
        <w:rPr>
          <w:rFonts w:asciiTheme="majorHAnsi" w:hAnsiTheme="majorHAnsi" w:cstheme="majorHAnsi"/>
        </w:rPr>
        <w:t xml:space="preserve">crédit-preneur </w:t>
      </w:r>
      <w:r w:rsidR="00874C63">
        <w:rPr>
          <w:rFonts w:asciiTheme="majorHAnsi" w:hAnsiTheme="majorHAnsi" w:cstheme="majorHAnsi"/>
        </w:rPr>
        <w:t xml:space="preserve">a le choix entre deux </w:t>
      </w:r>
      <w:r w:rsidR="00A23D77">
        <w:rPr>
          <w:rFonts w:asciiTheme="majorHAnsi" w:hAnsiTheme="majorHAnsi" w:cstheme="majorHAnsi"/>
        </w:rPr>
        <w:t>possibilités</w:t>
      </w:r>
      <w:r w:rsidR="00874C63">
        <w:rPr>
          <w:rFonts w:asciiTheme="majorHAnsi" w:hAnsiTheme="majorHAnsi" w:cstheme="majorHAnsi"/>
        </w:rPr>
        <w:t> :</w:t>
      </w:r>
    </w:p>
    <w:p w14:paraId="0B73AD30" w14:textId="77777777" w:rsidR="001D7502" w:rsidRPr="001A6AF1" w:rsidRDefault="001D7502" w:rsidP="00A23D77">
      <w:pPr>
        <w:pStyle w:val="Titre3"/>
        <w:spacing w:after="120"/>
        <w:ind w:left="1281" w:hanging="357"/>
      </w:pPr>
      <w:r w:rsidRPr="001A6AF1">
        <w:t>Ne pas lever l’option d’achat : ce choix est extrêmement rare, la valeur résiduelle fixée au départ étant, généralement, très faible ;</w:t>
      </w:r>
    </w:p>
    <w:p w14:paraId="6FC7C315" w14:textId="77777777" w:rsidR="001D7502" w:rsidRPr="001A6AF1" w:rsidRDefault="001D7502" w:rsidP="004B3AFF">
      <w:pPr>
        <w:pStyle w:val="Titre3"/>
      </w:pPr>
      <w:r w:rsidRPr="001A6AF1">
        <w:t>Racheter le bien pour sa valeur résiduelle (fixée dans le contrat à la signature).</w:t>
      </w:r>
    </w:p>
    <w:p w14:paraId="0D6EF622" w14:textId="71E09346" w:rsidR="001D7502" w:rsidRPr="001A6AF1" w:rsidRDefault="001D7502" w:rsidP="00DF4292">
      <w:pPr>
        <w:pStyle w:val="Titre1"/>
      </w:pPr>
      <w:r w:rsidRPr="001A6AF1">
        <w:t>Le cas particulier du Lease-back (ou Cession-bail)</w:t>
      </w:r>
      <w:r w:rsidR="00A23D77">
        <w:t> :</w:t>
      </w:r>
    </w:p>
    <w:p w14:paraId="74E53F07" w14:textId="5244F7A7" w:rsidR="001D7502" w:rsidRPr="001A6AF1" w:rsidRDefault="001D7502" w:rsidP="00DA3CD4">
      <w:pPr>
        <w:spacing w:after="120" w:line="276" w:lineRule="auto"/>
        <w:ind w:firstLine="0"/>
        <w:jc w:val="both"/>
        <w:rPr>
          <w:rFonts w:asciiTheme="majorHAnsi" w:hAnsiTheme="majorHAnsi" w:cstheme="majorHAnsi"/>
        </w:rPr>
      </w:pPr>
      <w:r w:rsidRPr="001A6AF1">
        <w:rPr>
          <w:rFonts w:asciiTheme="majorHAnsi" w:hAnsiTheme="majorHAnsi" w:cstheme="majorHAnsi"/>
        </w:rPr>
        <w:t>L’association propriétaire ou l’O</w:t>
      </w:r>
      <w:r w:rsidR="00DA3CD4">
        <w:rPr>
          <w:rFonts w:asciiTheme="majorHAnsi" w:hAnsiTheme="majorHAnsi" w:cstheme="majorHAnsi"/>
        </w:rPr>
        <w:t xml:space="preserve">gec </w:t>
      </w:r>
      <w:r w:rsidRPr="001A6AF1">
        <w:rPr>
          <w:rFonts w:asciiTheme="majorHAnsi" w:hAnsiTheme="majorHAnsi" w:cstheme="majorHAnsi"/>
        </w:rPr>
        <w:t xml:space="preserve">cède un bien immobilier figurant à son actif à une société de crédit-bail qui le lui loue. Cette solution permet à l’association de </w:t>
      </w:r>
      <w:r w:rsidRPr="001A6AF1">
        <w:rPr>
          <w:rFonts w:asciiTheme="majorHAnsi" w:hAnsiTheme="majorHAnsi" w:cstheme="majorHAnsi"/>
          <w:i/>
        </w:rPr>
        <w:t>trouver une trésorerie immédiate</w:t>
      </w:r>
      <w:r w:rsidRPr="001A6AF1">
        <w:rPr>
          <w:rFonts w:asciiTheme="majorHAnsi" w:hAnsiTheme="majorHAnsi" w:cstheme="majorHAnsi"/>
        </w:rPr>
        <w:t xml:space="preserve"> du fait de la vente du bien immobilier. Ces montages sont généralement réservés, hors aspect fisca</w:t>
      </w:r>
      <w:r w:rsidR="001706F1">
        <w:rPr>
          <w:rFonts w:asciiTheme="majorHAnsi" w:hAnsiTheme="majorHAnsi" w:cstheme="majorHAnsi"/>
        </w:rPr>
        <w:t>l</w:t>
      </w:r>
      <w:r w:rsidRPr="001A6AF1">
        <w:rPr>
          <w:rFonts w:asciiTheme="majorHAnsi" w:hAnsiTheme="majorHAnsi" w:cstheme="majorHAnsi"/>
        </w:rPr>
        <w:t xml:space="preserve"> ou déconsolidant, à des biens valorisables sur le plan immobilier, donc bien situés et peu spécifiques, pour des associations ayant besoin de trésorerie. Le risque sur l’actif, en d’autres termes le bien d’Eglise, est réel.</w:t>
      </w:r>
    </w:p>
    <w:p w14:paraId="19AFF717" w14:textId="5F133A9C" w:rsidR="001D7502" w:rsidRPr="001A6AF1" w:rsidRDefault="001D7502" w:rsidP="00083B9B">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D’après le </w:t>
      </w:r>
      <w:r w:rsidR="00F77CD2">
        <w:rPr>
          <w:rFonts w:asciiTheme="majorHAnsi" w:hAnsiTheme="majorHAnsi" w:cstheme="majorHAnsi"/>
        </w:rPr>
        <w:t>S</w:t>
      </w:r>
      <w:r w:rsidRPr="001A6AF1">
        <w:rPr>
          <w:rFonts w:asciiTheme="majorHAnsi" w:hAnsiTheme="majorHAnsi" w:cstheme="majorHAnsi"/>
        </w:rPr>
        <w:t>tatut de l’</w:t>
      </w:r>
      <w:r w:rsidR="00F77CD2">
        <w:rPr>
          <w:rFonts w:asciiTheme="majorHAnsi" w:hAnsiTheme="majorHAnsi" w:cstheme="majorHAnsi"/>
        </w:rPr>
        <w:t>E</w:t>
      </w:r>
      <w:r w:rsidRPr="001A6AF1">
        <w:rPr>
          <w:rFonts w:asciiTheme="majorHAnsi" w:hAnsiTheme="majorHAnsi" w:cstheme="majorHAnsi"/>
        </w:rPr>
        <w:t xml:space="preserve">nseignement catholique, </w:t>
      </w:r>
      <w:r w:rsidRPr="001A6AF1">
        <w:rPr>
          <w:rFonts w:asciiTheme="majorHAnsi" w:hAnsiTheme="majorHAnsi" w:cstheme="majorHAnsi"/>
          <w:i/>
        </w:rPr>
        <w:t xml:space="preserve">tout transfert de patrimoine immobilier </w:t>
      </w:r>
      <w:r w:rsidRPr="001A6AF1">
        <w:rPr>
          <w:rFonts w:asciiTheme="majorHAnsi" w:hAnsiTheme="majorHAnsi" w:cstheme="majorHAnsi"/>
        </w:rPr>
        <w:t xml:space="preserve">doit faire l’objet d’un accord formel du CEAS auquel siège l’économe diocésain, représentant de l’Evêque du lieu. </w:t>
      </w:r>
    </w:p>
    <w:p w14:paraId="0EA6F776" w14:textId="4DD34236" w:rsidR="001D7502" w:rsidRPr="001A6AF1" w:rsidRDefault="001D7502" w:rsidP="00083B9B">
      <w:pPr>
        <w:spacing w:after="120" w:line="276" w:lineRule="auto"/>
        <w:ind w:firstLine="0"/>
        <w:jc w:val="both"/>
        <w:rPr>
          <w:rFonts w:asciiTheme="majorHAnsi" w:hAnsiTheme="majorHAnsi" w:cstheme="majorHAnsi"/>
        </w:rPr>
      </w:pPr>
      <w:r w:rsidRPr="001A6AF1">
        <w:rPr>
          <w:rFonts w:asciiTheme="majorHAnsi" w:hAnsiTheme="majorHAnsi" w:cstheme="majorHAnsi"/>
        </w:rPr>
        <w:t>En effet, rappelons qu’aux termes du texte adopté par la Conférence des Evêques de France le 6</w:t>
      </w:r>
      <w:r w:rsidR="003012FB">
        <w:rPr>
          <w:rFonts w:asciiTheme="majorHAnsi" w:hAnsiTheme="majorHAnsi" w:cstheme="majorHAnsi"/>
        </w:rPr>
        <w:t> novembre </w:t>
      </w:r>
      <w:r w:rsidRPr="001A6AF1">
        <w:rPr>
          <w:rFonts w:asciiTheme="majorHAnsi" w:hAnsiTheme="majorHAnsi" w:cstheme="majorHAnsi"/>
        </w:rPr>
        <w:t>1995 :</w:t>
      </w:r>
    </w:p>
    <w:p w14:paraId="367035FF" w14:textId="292B0C3F" w:rsidR="001D7502" w:rsidRPr="001A6AF1" w:rsidRDefault="001D7502" w:rsidP="00023EAA">
      <w:pPr>
        <w:pStyle w:val="Titre3"/>
        <w:spacing w:after="120"/>
        <w:ind w:left="1281" w:hanging="357"/>
      </w:pPr>
      <w:r w:rsidRPr="001A6AF1">
        <w:lastRenderedPageBreak/>
        <w:t>Un contrat de crédit-bail doit être considéré comme un « acte d’administration extraordinaire » en ce qu’il affecte le patrimoine stable de l’association (propriétaire ou O</w:t>
      </w:r>
      <w:r w:rsidR="000543F3">
        <w:t>gec</w:t>
      </w:r>
      <w:r w:rsidRPr="001A6AF1">
        <w:t>) ;</w:t>
      </w:r>
    </w:p>
    <w:p w14:paraId="09D44019" w14:textId="77777777" w:rsidR="001D7502" w:rsidRPr="001A6AF1" w:rsidRDefault="001D7502" w:rsidP="00023EAA">
      <w:pPr>
        <w:pStyle w:val="Titre3"/>
        <w:spacing w:after="120"/>
        <w:ind w:left="1281" w:hanging="357"/>
      </w:pPr>
      <w:r w:rsidRPr="001A6AF1">
        <w:t>Il s’agit d’une aliénation d’immeuble (« C-5. On entend par aliénations d’immeubles à usage scolaire les ventes, les apports et les donations ») ;</w:t>
      </w:r>
    </w:p>
    <w:p w14:paraId="2EABA4FF" w14:textId="1FF6CDB9" w:rsidR="001D7502" w:rsidRPr="001A6AF1" w:rsidRDefault="001D7502" w:rsidP="00023EAA">
      <w:pPr>
        <w:pStyle w:val="Titre3"/>
        <w:spacing w:after="120"/>
        <w:ind w:left="1281" w:hanging="357"/>
      </w:pPr>
      <w:r w:rsidRPr="001A6AF1">
        <w:t xml:space="preserve">Dans la mesure du possible, il convient de prendre en compte l’objectif de </w:t>
      </w:r>
      <w:r w:rsidR="00B87D93">
        <w:br/>
      </w:r>
      <w:r w:rsidRPr="001A6AF1">
        <w:t>(D-9.) « stricte séparation entre la gestion du patrimoine immobilier et celle des établissements scolaires ». Or, sauf à avoir pour contrepartie une association immobilière d’envergure significative, le banquier souhaitera toujours, à plus forte raison en crédit-bail, avoir en face de lui l’O</w:t>
      </w:r>
      <w:r w:rsidR="00DF109A">
        <w:t>gec</w:t>
      </w:r>
      <w:r w:rsidRPr="001A6AF1">
        <w:t>. Dans le cas contraire, des garanties supplémentaires telles que la délégation de loyer à première demande, par exemple, pourraient être exigées.</w:t>
      </w:r>
    </w:p>
    <w:p w14:paraId="09E5A108" w14:textId="77777777" w:rsidR="001D7502" w:rsidRPr="001A6AF1" w:rsidRDefault="001D7502" w:rsidP="00DF4292">
      <w:pPr>
        <w:pStyle w:val="Titre1"/>
      </w:pPr>
      <w:r w:rsidRPr="001A6AF1">
        <w:t>Est-il possible de céder l’immeuble avant le terme prévu dans le contrat de crédit-bail ?</w:t>
      </w:r>
    </w:p>
    <w:p w14:paraId="495F73F1" w14:textId="045738D8" w:rsidR="001D7502" w:rsidRPr="001A6AF1" w:rsidRDefault="001D7502" w:rsidP="00083B9B">
      <w:pPr>
        <w:spacing w:after="120" w:line="276" w:lineRule="auto"/>
        <w:ind w:firstLine="0"/>
        <w:jc w:val="both"/>
        <w:rPr>
          <w:rFonts w:asciiTheme="majorHAnsi" w:hAnsiTheme="majorHAnsi" w:cstheme="majorHAnsi"/>
        </w:rPr>
      </w:pPr>
      <w:r w:rsidRPr="001A6AF1">
        <w:rPr>
          <w:rFonts w:asciiTheme="majorHAnsi" w:hAnsiTheme="majorHAnsi" w:cstheme="majorHAnsi"/>
        </w:rPr>
        <w:t>Compte tenu de la durée des contrats de crédit-bail immobilier (généralement entre 12 et 20</w:t>
      </w:r>
      <w:r w:rsidR="0015213B">
        <w:rPr>
          <w:rFonts w:asciiTheme="majorHAnsi" w:hAnsiTheme="majorHAnsi" w:cstheme="majorHAnsi"/>
        </w:rPr>
        <w:t> </w:t>
      </w:r>
      <w:r w:rsidRPr="001A6AF1">
        <w:rPr>
          <w:rFonts w:asciiTheme="majorHAnsi" w:hAnsiTheme="majorHAnsi" w:cstheme="majorHAnsi"/>
        </w:rPr>
        <w:t>ans</w:t>
      </w:r>
      <w:r w:rsidR="0015213B">
        <w:rPr>
          <w:rFonts w:asciiTheme="majorHAnsi" w:hAnsiTheme="majorHAnsi" w:cstheme="majorHAnsi"/>
        </w:rPr>
        <w:t>,</w:t>
      </w:r>
      <w:r w:rsidRPr="001A6AF1">
        <w:rPr>
          <w:rFonts w:asciiTheme="majorHAnsi" w:hAnsiTheme="majorHAnsi" w:cstheme="majorHAnsi"/>
        </w:rPr>
        <w:t xml:space="preserve"> même s’il est possible de lever l’option d’achat après 7 ans), l’association peut être conduite à céder à un tiers, avant le terme du contrat, l’immeuble dont elle n’a plus </w:t>
      </w:r>
      <w:r w:rsidR="00E84031">
        <w:rPr>
          <w:rFonts w:asciiTheme="majorHAnsi" w:hAnsiTheme="majorHAnsi" w:cstheme="majorHAnsi"/>
        </w:rPr>
        <w:t>l’</w:t>
      </w:r>
      <w:r w:rsidRPr="001A6AF1">
        <w:rPr>
          <w:rFonts w:asciiTheme="majorHAnsi" w:hAnsiTheme="majorHAnsi" w:cstheme="majorHAnsi"/>
        </w:rPr>
        <w:t xml:space="preserve">usage (fermeture de site, regroupement, etc.). C’est l’une des difficultés majeures de la formule. L’association a deux possibilités : </w:t>
      </w:r>
    </w:p>
    <w:p w14:paraId="6DEFBBB1" w14:textId="6C7C1FA5" w:rsidR="001D7502" w:rsidRPr="001A6AF1" w:rsidRDefault="001D7502" w:rsidP="0015213B">
      <w:pPr>
        <w:pStyle w:val="Titre3"/>
        <w:spacing w:after="120"/>
        <w:ind w:left="1281" w:hanging="357"/>
      </w:pPr>
      <w:r w:rsidRPr="001A6AF1">
        <w:t xml:space="preserve">Exercer, de manière anticipée, la levée d’option prévue au contrat (acquisition de l’immeuble donc) puis revente de l’actif. Problème : paiement des droits de mutation sur la valeur résiduelle (qui peut être encore élevée) pour récupérer la propriété, puis </w:t>
      </w:r>
      <w:r w:rsidR="00090B0B">
        <w:t xml:space="preserve">la </w:t>
      </w:r>
      <w:r w:rsidRPr="001A6AF1">
        <w:t xml:space="preserve">revente </w:t>
      </w:r>
      <w:r w:rsidR="00090B0B">
        <w:t>du bien déclenchera une</w:t>
      </w:r>
      <w:r w:rsidRPr="001A6AF1">
        <w:t xml:space="preserve"> nouvelle mutation ;</w:t>
      </w:r>
    </w:p>
    <w:p w14:paraId="210058A8" w14:textId="64D91611" w:rsidR="001D7502" w:rsidRPr="001A6AF1" w:rsidRDefault="001D7502" w:rsidP="0015213B">
      <w:pPr>
        <w:pStyle w:val="Titre3"/>
        <w:spacing w:after="120"/>
        <w:ind w:left="1281" w:hanging="357"/>
      </w:pPr>
      <w:r w:rsidRPr="001A6AF1">
        <w:t>Céder le contrat de crédit-bail à un tiers</w:t>
      </w:r>
      <w:r w:rsidR="006243AB">
        <w:t>,</w:t>
      </w:r>
      <w:r w:rsidRPr="001A6AF1">
        <w:t xml:space="preserve"> qui se substitue à l’entreprise jusqu’au terme du contrat</w:t>
      </w:r>
      <w:r w:rsidR="006243AB">
        <w:t>,</w:t>
      </w:r>
      <w:r w:rsidRPr="001A6AF1">
        <w:t xml:space="preserve"> </w:t>
      </w:r>
      <w:r w:rsidR="00AE203C">
        <w:t>lequel</w:t>
      </w:r>
      <w:r w:rsidRPr="001A6AF1">
        <w:t xml:space="preserve"> poursuit normalement ses effets. Il est très rare que cette option soit retenue par un </w:t>
      </w:r>
      <w:r w:rsidR="00791161">
        <w:t>acquéreur</w:t>
      </w:r>
      <w:r w:rsidRPr="001A6AF1">
        <w:t xml:space="preserve">. Par ailleurs, le changement de contrepartie pour l’établissement financier implique que celui-ci délivre son accord. </w:t>
      </w:r>
    </w:p>
    <w:p w14:paraId="2555F97A" w14:textId="023CACBA" w:rsidR="001D7502" w:rsidRPr="001A6AF1" w:rsidRDefault="001D7502" w:rsidP="00791161">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Sans </w:t>
      </w:r>
      <w:r w:rsidR="00033C5C">
        <w:rPr>
          <w:rFonts w:asciiTheme="majorHAnsi" w:hAnsiTheme="majorHAnsi" w:cstheme="majorHAnsi"/>
        </w:rPr>
        <w:t xml:space="preserve">même </w:t>
      </w:r>
      <w:r w:rsidRPr="001A6AF1">
        <w:rPr>
          <w:rFonts w:asciiTheme="majorHAnsi" w:hAnsiTheme="majorHAnsi" w:cstheme="majorHAnsi"/>
        </w:rPr>
        <w:t xml:space="preserve">parler de cession du patrimoine à un acheteur hors </w:t>
      </w:r>
      <w:r w:rsidR="00033C5C">
        <w:rPr>
          <w:rFonts w:asciiTheme="majorHAnsi" w:hAnsiTheme="majorHAnsi" w:cstheme="majorHAnsi"/>
        </w:rPr>
        <w:t>E</w:t>
      </w:r>
      <w:r w:rsidRPr="001A6AF1">
        <w:rPr>
          <w:rFonts w:asciiTheme="majorHAnsi" w:hAnsiTheme="majorHAnsi" w:cstheme="majorHAnsi"/>
        </w:rPr>
        <w:t xml:space="preserve">nseignement catholique, la structure de détention de </w:t>
      </w:r>
      <w:r w:rsidR="00F00A98">
        <w:rPr>
          <w:rFonts w:asciiTheme="majorHAnsi" w:hAnsiTheme="majorHAnsi" w:cstheme="majorHAnsi"/>
        </w:rPr>
        <w:t>l’</w:t>
      </w:r>
      <w:r w:rsidRPr="001A6AF1">
        <w:rPr>
          <w:rFonts w:asciiTheme="majorHAnsi" w:hAnsiTheme="majorHAnsi" w:cstheme="majorHAnsi"/>
        </w:rPr>
        <w:t xml:space="preserve">immobilier </w:t>
      </w:r>
      <w:r w:rsidR="00F00A98">
        <w:rPr>
          <w:rFonts w:asciiTheme="majorHAnsi" w:hAnsiTheme="majorHAnsi" w:cstheme="majorHAnsi"/>
        </w:rPr>
        <w:t xml:space="preserve">scolaire </w:t>
      </w:r>
      <w:r w:rsidRPr="001A6AF1">
        <w:rPr>
          <w:rFonts w:asciiTheme="majorHAnsi" w:hAnsiTheme="majorHAnsi" w:cstheme="majorHAnsi"/>
        </w:rPr>
        <w:t xml:space="preserve">a fortement évolué ces dernières années avec une impulsion donnée aux associations immobilières diocésaines. L’existence d’un contrat de crédit-bail peut être problématique si l’on envisage, par exemple, la cession d’un bien d’une association </w:t>
      </w:r>
      <w:r w:rsidR="00DF4292">
        <w:rPr>
          <w:rFonts w:asciiTheme="majorHAnsi" w:hAnsiTheme="majorHAnsi" w:cstheme="majorHAnsi"/>
        </w:rPr>
        <w:t xml:space="preserve">propriétaire </w:t>
      </w:r>
      <w:r w:rsidRPr="001A6AF1">
        <w:rPr>
          <w:rFonts w:asciiTheme="majorHAnsi" w:hAnsiTheme="majorHAnsi" w:cstheme="majorHAnsi"/>
        </w:rPr>
        <w:t xml:space="preserve">locale à une association diocésaine ou une fondation.  </w:t>
      </w:r>
    </w:p>
    <w:p w14:paraId="231784D7" w14:textId="59588364" w:rsidR="001D7502" w:rsidRPr="001A6AF1" w:rsidRDefault="001D7502" w:rsidP="00DF4292">
      <w:pPr>
        <w:pStyle w:val="Titre1"/>
      </w:pPr>
      <w:r w:rsidRPr="001A6AF1">
        <w:lastRenderedPageBreak/>
        <w:t>Le financement d’extensions</w:t>
      </w:r>
      <w:r w:rsidR="00DF4292">
        <w:t>,</w:t>
      </w:r>
      <w:r w:rsidRPr="001A6AF1">
        <w:t xml:space="preserve"> aménagements </w:t>
      </w:r>
      <w:r w:rsidR="00DF4292">
        <w:t xml:space="preserve">et </w:t>
      </w:r>
      <w:r w:rsidR="00687EC2">
        <w:t xml:space="preserve">TRAVAUX DE </w:t>
      </w:r>
      <w:r w:rsidRPr="001A6AF1">
        <w:t>rénovation futurs</w:t>
      </w:r>
      <w:r w:rsidR="00687EC2">
        <w:t> :</w:t>
      </w:r>
    </w:p>
    <w:p w14:paraId="584FDF6E" w14:textId="787992AC" w:rsidR="001D7502" w:rsidRPr="001A6AF1" w:rsidRDefault="001D7502" w:rsidP="006D44B5">
      <w:pPr>
        <w:spacing w:after="120" w:line="276" w:lineRule="auto"/>
        <w:ind w:firstLine="0"/>
        <w:jc w:val="both"/>
        <w:rPr>
          <w:rFonts w:asciiTheme="majorHAnsi" w:hAnsiTheme="majorHAnsi" w:cstheme="majorHAnsi"/>
        </w:rPr>
      </w:pPr>
      <w:r w:rsidRPr="001A6AF1">
        <w:rPr>
          <w:rFonts w:asciiTheme="majorHAnsi" w:hAnsiTheme="majorHAnsi" w:cstheme="majorHAnsi"/>
        </w:rPr>
        <w:t>Si le développement du projet de l’O</w:t>
      </w:r>
      <w:r w:rsidR="00687EC2">
        <w:rPr>
          <w:rFonts w:asciiTheme="majorHAnsi" w:hAnsiTheme="majorHAnsi" w:cstheme="majorHAnsi"/>
        </w:rPr>
        <w:t>gec</w:t>
      </w:r>
      <w:r w:rsidRPr="001A6AF1">
        <w:rPr>
          <w:rFonts w:asciiTheme="majorHAnsi" w:hAnsiTheme="majorHAnsi" w:cstheme="majorHAnsi"/>
        </w:rPr>
        <w:t xml:space="preserve"> le conduit à restructurer ou agrandir ses bâtiments, le crédit-bailleur a vocation à l’accompagner en mettant en place, au travers d’un avenant au contrat initial, le financement adapté.</w:t>
      </w:r>
    </w:p>
    <w:p w14:paraId="0B3B6910" w14:textId="69492205" w:rsidR="001D7502" w:rsidRPr="001A6AF1" w:rsidRDefault="001D7502" w:rsidP="006D44B5">
      <w:pPr>
        <w:spacing w:after="120" w:line="276" w:lineRule="auto"/>
        <w:ind w:firstLine="0"/>
        <w:jc w:val="both"/>
        <w:rPr>
          <w:rFonts w:asciiTheme="majorHAnsi" w:hAnsiTheme="majorHAnsi" w:cstheme="majorHAnsi"/>
        </w:rPr>
      </w:pPr>
      <w:r w:rsidRPr="001D5A28">
        <w:rPr>
          <w:rFonts w:asciiTheme="majorHAnsi" w:hAnsiTheme="majorHAnsi" w:cstheme="majorHAnsi"/>
          <w:b/>
          <w:u w:val="single"/>
        </w:rPr>
        <w:t>Attention</w:t>
      </w:r>
      <w:r w:rsidR="001D5A28" w:rsidRPr="001D5A28">
        <w:rPr>
          <w:rFonts w:asciiTheme="majorHAnsi" w:hAnsiTheme="majorHAnsi" w:cstheme="majorHAnsi"/>
        </w:rPr>
        <w:t> :</w:t>
      </w:r>
      <w:r w:rsidR="001D5A28">
        <w:rPr>
          <w:rFonts w:asciiTheme="majorHAnsi" w:hAnsiTheme="majorHAnsi" w:cstheme="majorHAnsi"/>
        </w:rPr>
        <w:t xml:space="preserve"> </w:t>
      </w:r>
      <w:r w:rsidRPr="001A6AF1">
        <w:rPr>
          <w:rFonts w:asciiTheme="majorHAnsi" w:hAnsiTheme="majorHAnsi" w:cstheme="majorHAnsi"/>
        </w:rPr>
        <w:t>il n’en a nullement l’obligation. Il est en droit de refuser les travaux dans l’immeuble dont il est propriétaire, ou de refuser leur financement. L’O</w:t>
      </w:r>
      <w:r w:rsidR="00B24056">
        <w:rPr>
          <w:rFonts w:asciiTheme="majorHAnsi" w:hAnsiTheme="majorHAnsi" w:cstheme="majorHAnsi"/>
        </w:rPr>
        <w:t>gec</w:t>
      </w:r>
      <w:r w:rsidRPr="001A6AF1">
        <w:rPr>
          <w:rFonts w:asciiTheme="majorHAnsi" w:hAnsiTheme="majorHAnsi" w:cstheme="majorHAnsi"/>
        </w:rPr>
        <w:t xml:space="preserve"> ou l’association propriétaire devra alors consigner les fonds nécessaires auprès de la société de crédit-bail au moment de la signature de l’avenant.</w:t>
      </w:r>
    </w:p>
    <w:p w14:paraId="339F611B" w14:textId="4D4978B8" w:rsidR="001D7502" w:rsidRPr="001A6AF1" w:rsidRDefault="001D7502" w:rsidP="007A3EF4">
      <w:pPr>
        <w:pStyle w:val="Sansinterligne"/>
        <w:numPr>
          <w:ilvl w:val="0"/>
          <w:numId w:val="13"/>
        </w:numPr>
        <w:spacing w:after="120"/>
        <w:contextualSpacing w:val="0"/>
      </w:pPr>
      <w:r w:rsidRPr="001A6AF1">
        <w:t>Aspects financiers</w:t>
      </w:r>
    </w:p>
    <w:p w14:paraId="045D1B9C" w14:textId="7228468A" w:rsidR="001D7502" w:rsidRPr="001A6AF1" w:rsidRDefault="001D7502" w:rsidP="006D44B5">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Il n’y </w:t>
      </w:r>
      <w:r w:rsidRPr="001A6AF1">
        <w:rPr>
          <w:rFonts w:asciiTheme="majorHAnsi" w:hAnsiTheme="majorHAnsi" w:cstheme="majorHAnsi"/>
          <w:i/>
        </w:rPr>
        <w:t>a pas de différence significative sur le taux</w:t>
      </w:r>
      <w:r w:rsidRPr="001A6AF1">
        <w:rPr>
          <w:rFonts w:asciiTheme="majorHAnsi" w:hAnsiTheme="majorHAnsi" w:cstheme="majorHAnsi"/>
        </w:rPr>
        <w:t xml:space="preserve"> entre les deux formules</w:t>
      </w:r>
      <w:r w:rsidR="002E5432">
        <w:rPr>
          <w:rFonts w:asciiTheme="majorHAnsi" w:hAnsiTheme="majorHAnsi" w:cstheme="majorHAnsi"/>
        </w:rPr>
        <w:t xml:space="preserve"> (CBI / crédit classique)</w:t>
      </w:r>
      <w:r w:rsidRPr="001A6AF1">
        <w:rPr>
          <w:rFonts w:asciiTheme="majorHAnsi" w:hAnsiTheme="majorHAnsi" w:cstheme="majorHAnsi"/>
        </w:rPr>
        <w:t>. Les distinctions vont donc s’opérer sur des considérations « à la marge », comme la possibilité évoquée plus haut d’un financement total en CBI.</w:t>
      </w:r>
    </w:p>
    <w:p w14:paraId="02F8E3A4" w14:textId="77777777" w:rsidR="001D7502" w:rsidRPr="001A6AF1" w:rsidRDefault="001D7502" w:rsidP="00DF4292">
      <w:pPr>
        <w:pStyle w:val="Titre1"/>
      </w:pPr>
      <w:r w:rsidRPr="001A6AF1">
        <w:t>Frais liés à un crédit hypothécaire :</w:t>
      </w:r>
    </w:p>
    <w:p w14:paraId="2141A9A3" w14:textId="32B97D3C" w:rsidR="001D7502" w:rsidRPr="001A6AF1" w:rsidRDefault="001D7502" w:rsidP="00A56E14">
      <w:pPr>
        <w:pStyle w:val="Titre3"/>
        <w:spacing w:after="120"/>
        <w:ind w:left="1281" w:hanging="357"/>
      </w:pPr>
      <w:r w:rsidRPr="001A6AF1">
        <w:rPr>
          <w:i/>
        </w:rPr>
        <w:t>La garantie hypothécaire</w:t>
      </w:r>
      <w:r w:rsidRPr="001A6AF1">
        <w:t xml:space="preserve"> : c’est une garantie qui porte sur un bien immobilier, dont l’association est déjà propriétaire ou qu’elle va acquérir grâce à l'emprunt contracté. L'organisme prêteur garantit ainsi les fonds qu'il prête, et pourra, en cas de </w:t>
      </w:r>
      <w:r w:rsidR="00156FE4" w:rsidRPr="001A6AF1">
        <w:t>non-remboursement</w:t>
      </w:r>
      <w:r w:rsidRPr="001A6AF1">
        <w:t xml:space="preserve"> du crédit, obtenir la saisie et la vente du bien hypothéqué. Cette hypothèque </w:t>
      </w:r>
      <w:r w:rsidRPr="001A6AF1">
        <w:rPr>
          <w:i/>
        </w:rPr>
        <w:t>doit être prise devant notaire et donne lieu à publication aux services de la publicité foncière</w:t>
      </w:r>
      <w:r w:rsidRPr="001A6AF1">
        <w:t>. L’hypothèque dure aussi longtemps que le crédit. En cas de vente du bien immobilier avant la fin du crédit, il conviendra d’obtenir la mainlevée de l'hypothèque, qui entraîne des frais et le paiement de droits et taxes.</w:t>
      </w:r>
    </w:p>
    <w:p w14:paraId="6F15A400" w14:textId="77777777" w:rsidR="001D7502" w:rsidRPr="001A6AF1" w:rsidRDefault="001D7502" w:rsidP="00A56E14">
      <w:pPr>
        <w:pStyle w:val="Titre3"/>
        <w:spacing w:after="120"/>
        <w:ind w:left="1281" w:hanging="357"/>
      </w:pPr>
      <w:r w:rsidRPr="001A6AF1">
        <w:rPr>
          <w:i/>
        </w:rPr>
        <w:t xml:space="preserve">Dans les frais relatifs au crédit, il faut donc prendre en compte </w:t>
      </w:r>
      <w:r w:rsidRPr="001A6AF1">
        <w:t>impôts, taxes, rémunération du notaire et frais d'hypothèque. La rémunération du notaire est fixée par décret.</w:t>
      </w:r>
    </w:p>
    <w:p w14:paraId="6731FAF4" w14:textId="77777777" w:rsidR="001D7502" w:rsidRPr="001A6AF1" w:rsidRDefault="001D7502" w:rsidP="00DF4292">
      <w:pPr>
        <w:pStyle w:val="Titre1"/>
      </w:pPr>
      <w:r w:rsidRPr="001A6AF1">
        <w:t>Frais liés à un contrat de crédit-bail immobilier :</w:t>
      </w:r>
    </w:p>
    <w:p w14:paraId="03754673" w14:textId="73438B05" w:rsidR="001D7502" w:rsidRPr="001A6AF1" w:rsidRDefault="001D7502" w:rsidP="006D44B5">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Un crédit-bail immobilier de plus de 12 ans (très grande majorité des cas) est astreint à publicité au Bureau des hypothèques. </w:t>
      </w:r>
      <w:r w:rsidR="00F37900">
        <w:rPr>
          <w:rFonts w:asciiTheme="majorHAnsi" w:hAnsiTheme="majorHAnsi" w:cstheme="majorHAnsi"/>
        </w:rPr>
        <w:t>L’a</w:t>
      </w:r>
      <w:r w:rsidRPr="001A6AF1">
        <w:rPr>
          <w:rFonts w:asciiTheme="majorHAnsi" w:hAnsiTheme="majorHAnsi" w:cstheme="majorHAnsi"/>
        </w:rPr>
        <w:t xml:space="preserve">ssiette </w:t>
      </w:r>
      <w:r w:rsidR="00F37900">
        <w:rPr>
          <w:rFonts w:asciiTheme="majorHAnsi" w:hAnsiTheme="majorHAnsi" w:cstheme="majorHAnsi"/>
        </w:rPr>
        <w:t>de calcul est le</w:t>
      </w:r>
      <w:r w:rsidRPr="001A6AF1">
        <w:rPr>
          <w:rFonts w:asciiTheme="majorHAnsi" w:hAnsiTheme="majorHAnsi" w:cstheme="majorHAnsi"/>
        </w:rPr>
        <w:t xml:space="preserve"> </w:t>
      </w:r>
      <w:r w:rsidR="00F37900">
        <w:rPr>
          <w:rFonts w:asciiTheme="majorHAnsi" w:hAnsiTheme="majorHAnsi" w:cstheme="majorHAnsi"/>
        </w:rPr>
        <w:t>m</w:t>
      </w:r>
      <w:r w:rsidRPr="001A6AF1">
        <w:rPr>
          <w:rFonts w:asciiTheme="majorHAnsi" w:hAnsiTheme="majorHAnsi" w:cstheme="majorHAnsi"/>
        </w:rPr>
        <w:t>ontant cumulé des loyers hors taxe</w:t>
      </w:r>
      <w:r w:rsidR="001D5A28">
        <w:rPr>
          <w:rFonts w:asciiTheme="majorHAnsi" w:hAnsiTheme="majorHAnsi" w:cstheme="majorHAnsi"/>
        </w:rPr>
        <w:t>,</w:t>
      </w:r>
      <w:r w:rsidRPr="001A6AF1">
        <w:rPr>
          <w:rFonts w:asciiTheme="majorHAnsi" w:hAnsiTheme="majorHAnsi" w:cstheme="majorHAnsi"/>
        </w:rPr>
        <w:t xml:space="preserve"> diminué des frais financiers versés par le preneur.</w:t>
      </w:r>
    </w:p>
    <w:p w14:paraId="4517E90F" w14:textId="77777777" w:rsidR="006D44B5" w:rsidRDefault="001D7502" w:rsidP="006D44B5">
      <w:pPr>
        <w:spacing w:after="120" w:line="276" w:lineRule="auto"/>
        <w:ind w:firstLine="0"/>
        <w:jc w:val="both"/>
        <w:rPr>
          <w:rFonts w:asciiTheme="majorHAnsi" w:hAnsiTheme="majorHAnsi" w:cstheme="majorHAnsi"/>
        </w:rPr>
      </w:pPr>
      <w:r w:rsidRPr="001A6AF1">
        <w:rPr>
          <w:rFonts w:asciiTheme="majorHAnsi" w:hAnsiTheme="majorHAnsi" w:cstheme="majorHAnsi"/>
          <w:b/>
          <w:u w:val="single"/>
        </w:rPr>
        <w:t>Attention</w:t>
      </w:r>
      <w:r w:rsidRPr="001A6AF1">
        <w:rPr>
          <w:rFonts w:asciiTheme="majorHAnsi" w:hAnsiTheme="majorHAnsi" w:cstheme="majorHAnsi"/>
        </w:rPr>
        <w:t> : certaines sociétés de crédit-bail immobilier prélèvent des frais de gestion (montant fixe ou %) par échéance. Le calcul de TEG n’étant pas obligatoire pour une clientèle professionnelle, il convient dans ce cas de recalculer très précisément le taux actuariel de l’opération pour pouvoir le comparer à un crédit classique.</w:t>
      </w:r>
    </w:p>
    <w:p w14:paraId="451C5B28" w14:textId="52634341" w:rsidR="001D7502" w:rsidRPr="001A6AF1" w:rsidRDefault="001D7502" w:rsidP="006D44B5">
      <w:pPr>
        <w:spacing w:after="120" w:line="276" w:lineRule="auto"/>
        <w:ind w:firstLine="0"/>
        <w:jc w:val="both"/>
        <w:rPr>
          <w:rFonts w:asciiTheme="majorHAnsi" w:hAnsiTheme="majorHAnsi" w:cstheme="majorHAnsi"/>
        </w:rPr>
      </w:pPr>
      <w:r w:rsidRPr="001A6AF1">
        <w:rPr>
          <w:rFonts w:asciiTheme="majorHAnsi" w:hAnsiTheme="majorHAnsi" w:cstheme="majorHAnsi"/>
        </w:rPr>
        <w:lastRenderedPageBreak/>
        <w:t>De même, des loyers perçus trimestriellement d’avance ou semestriellement à terme échu donneront des résultats actuariels très différents.</w:t>
      </w:r>
    </w:p>
    <w:p w14:paraId="6BE1DBE7" w14:textId="2DEEE231" w:rsidR="001D7502" w:rsidRPr="001A6AF1" w:rsidRDefault="001D7502" w:rsidP="00DF4292">
      <w:pPr>
        <w:pStyle w:val="Titre1"/>
      </w:pPr>
      <w:r w:rsidRPr="001A6AF1">
        <w:t>Droits d'enregistrement et taxes de publicité foncière</w:t>
      </w:r>
      <w:r w:rsidR="00071DA8">
        <w:t> :</w:t>
      </w:r>
    </w:p>
    <w:p w14:paraId="52BE2CF8" w14:textId="09A58310" w:rsidR="001D7502" w:rsidRDefault="001D7502" w:rsidP="00071DA8">
      <w:pPr>
        <w:spacing w:after="120" w:line="276" w:lineRule="auto"/>
        <w:ind w:firstLine="0"/>
        <w:jc w:val="both"/>
        <w:rPr>
          <w:rFonts w:asciiTheme="majorHAnsi" w:hAnsiTheme="majorHAnsi" w:cstheme="majorHAnsi"/>
        </w:rPr>
      </w:pPr>
      <w:r w:rsidRPr="001A6AF1">
        <w:rPr>
          <w:rFonts w:asciiTheme="majorHAnsi" w:hAnsiTheme="majorHAnsi" w:cstheme="majorHAnsi"/>
        </w:rPr>
        <w:t>Chaque année, les conseils départementaux fixent le tarif de la taxe de publicité foncière ou des droits d’enregistrement exigibles sur les mutations à titre onéreux d’immeubles ou de droits immobiliers. Ils peuvent également, à titre facultatif, instituer un abattement sur l’assiette de ces droits, réduire le taux de ces droits jusqu’à 0,7% pour certaines mutations et voter des exonérations pour certains types de cessions.</w:t>
      </w:r>
    </w:p>
    <w:p w14:paraId="2DA1B7DC" w14:textId="30172B7E" w:rsidR="002B6AE0" w:rsidRDefault="002B6AE0" w:rsidP="00071DA8">
      <w:pPr>
        <w:spacing w:after="120" w:line="276" w:lineRule="auto"/>
        <w:ind w:firstLine="0"/>
        <w:jc w:val="both"/>
        <w:rPr>
          <w:rFonts w:asciiTheme="majorHAnsi" w:hAnsiTheme="majorHAnsi" w:cstheme="majorHAnsi"/>
        </w:rPr>
      </w:pPr>
    </w:p>
    <w:p w14:paraId="1D0CE94E" w14:textId="51D4C3A5" w:rsidR="001D7502" w:rsidRPr="001A6AF1" w:rsidRDefault="001D7502" w:rsidP="007A3EF4">
      <w:pPr>
        <w:pStyle w:val="Sansinterligne"/>
        <w:numPr>
          <w:ilvl w:val="0"/>
          <w:numId w:val="13"/>
        </w:numPr>
        <w:spacing w:after="120"/>
        <w:contextualSpacing w:val="0"/>
      </w:pPr>
      <w:r w:rsidRPr="001A6AF1">
        <w:t xml:space="preserve">Considérations comptables et fiscales </w:t>
      </w:r>
      <w:r w:rsidR="00EA41EF">
        <w:t>-</w:t>
      </w:r>
      <w:r w:rsidR="00EA41EF">
        <w:br/>
      </w:r>
      <w:r w:rsidRPr="001A6AF1">
        <w:t>pour mémoire et information</w:t>
      </w:r>
    </w:p>
    <w:p w14:paraId="135F1EB2" w14:textId="2900EAF5" w:rsidR="001D7502" w:rsidRPr="001A6AF1" w:rsidRDefault="001D7502" w:rsidP="00372ED2">
      <w:pPr>
        <w:spacing w:after="120" w:line="276" w:lineRule="auto"/>
        <w:ind w:firstLine="0"/>
        <w:jc w:val="both"/>
        <w:rPr>
          <w:rFonts w:asciiTheme="majorHAnsi" w:hAnsiTheme="majorHAnsi" w:cstheme="majorHAnsi"/>
        </w:rPr>
      </w:pPr>
      <w:r w:rsidRPr="001A6AF1">
        <w:rPr>
          <w:rFonts w:asciiTheme="majorHAnsi" w:hAnsiTheme="majorHAnsi" w:cstheme="majorHAnsi"/>
        </w:rPr>
        <w:t>L’article 57 de la loi du 4 février 1995 définissant le régime applicable depuis 1996 aux nouvelles opérations de crédit-bail a réglementé la déductibilité des loyers de crédit-bail immobilier</w:t>
      </w:r>
      <w:r w:rsidR="00E32002">
        <w:rPr>
          <w:rFonts w:asciiTheme="majorHAnsi" w:hAnsiTheme="majorHAnsi" w:cstheme="majorHAnsi"/>
        </w:rPr>
        <w:t>,</w:t>
      </w:r>
      <w:r w:rsidRPr="001A6AF1">
        <w:rPr>
          <w:rFonts w:asciiTheme="majorHAnsi" w:hAnsiTheme="majorHAnsi" w:cstheme="majorHAnsi"/>
        </w:rPr>
        <w:t xml:space="preserve"> qui constituent donc une catégorie particulière de charges pour les entreprises.</w:t>
      </w:r>
    </w:p>
    <w:p w14:paraId="43293F79" w14:textId="24701AFE" w:rsidR="001D7502" w:rsidRPr="001A6AF1" w:rsidRDefault="00A567F2" w:rsidP="00DF4292">
      <w:pPr>
        <w:pStyle w:val="Titre1"/>
      </w:pPr>
      <w:r>
        <w:t>DEDUCTIBILITE</w:t>
      </w:r>
      <w:r w:rsidR="001D7502" w:rsidRPr="001A6AF1">
        <w:t xml:space="preserve"> </w:t>
      </w:r>
      <w:r w:rsidR="007206E3">
        <w:t>FISCAL</w:t>
      </w:r>
      <w:r>
        <w:t>E DES REDEVANCES DE CREDIT-BAIL</w:t>
      </w:r>
      <w:r w:rsidR="00270709">
        <w:t> :</w:t>
      </w:r>
    </w:p>
    <w:p w14:paraId="2074D043" w14:textId="77777777" w:rsidR="001D7502" w:rsidRPr="001A6AF1" w:rsidRDefault="001D7502" w:rsidP="00E20DE5">
      <w:pPr>
        <w:spacing w:after="120" w:line="276" w:lineRule="auto"/>
        <w:ind w:firstLine="0"/>
        <w:jc w:val="both"/>
        <w:rPr>
          <w:rFonts w:asciiTheme="majorHAnsi" w:hAnsiTheme="majorHAnsi" w:cstheme="majorHAnsi"/>
        </w:rPr>
      </w:pPr>
      <w:r w:rsidRPr="001A6AF1">
        <w:rPr>
          <w:rFonts w:asciiTheme="majorHAnsi" w:hAnsiTheme="majorHAnsi" w:cstheme="majorHAnsi"/>
        </w:rPr>
        <w:t>Les loyers de crédit-bail sont intégralement déductibles du résultat imposable du crédit-preneur. Cependant, la part de l’amortissement relative au terrain n’est pas fiscalement déductible. L’amortissement du terrain étant réputé intervenir après celui des frais d’acquisition et des constructions, les derniers loyers du crédit-bail ne sont que partiellement déductibles (sauf si le montant de la valeur résiduelle est supérieur à la valeur du terrain). Le crédit-bailleur fournit à son client un tableau lui permettant de déterminer les montants à prendre en compte.</w:t>
      </w:r>
    </w:p>
    <w:p w14:paraId="3C6662DF" w14:textId="5E4191A5" w:rsidR="001D7502" w:rsidRDefault="001D7502" w:rsidP="00E64C44">
      <w:pPr>
        <w:spacing w:after="120" w:line="276" w:lineRule="auto"/>
        <w:ind w:firstLine="0"/>
        <w:jc w:val="both"/>
        <w:rPr>
          <w:rFonts w:asciiTheme="majorHAnsi" w:hAnsiTheme="majorHAnsi" w:cstheme="majorHAnsi"/>
        </w:rPr>
      </w:pPr>
      <w:r w:rsidRPr="001A6AF1">
        <w:rPr>
          <w:rFonts w:asciiTheme="majorHAnsi" w:hAnsiTheme="majorHAnsi" w:cstheme="majorHAnsi"/>
        </w:rPr>
        <w:t>Pour les sociétés soumises à l’IS, part de marché principale des opérations en CBI, le crédit-bail est donc un outil permettant de différer le paiement d’impôt. Il produit un gain financier actuariel lié au décalage du paiement de l’IS dans le temps.</w:t>
      </w:r>
    </w:p>
    <w:p w14:paraId="7281C18D" w14:textId="77777777" w:rsidR="00ED3D85" w:rsidRPr="001A6AF1" w:rsidRDefault="00ED3D85" w:rsidP="00E64C44">
      <w:pPr>
        <w:spacing w:after="120" w:line="276" w:lineRule="auto"/>
        <w:ind w:firstLine="0"/>
        <w:jc w:val="both"/>
        <w:rPr>
          <w:rFonts w:asciiTheme="majorHAnsi" w:hAnsiTheme="majorHAnsi" w:cstheme="majorHAnsi"/>
        </w:rPr>
      </w:pPr>
    </w:p>
    <w:p w14:paraId="78D42E3F" w14:textId="60D8D7FD" w:rsidR="001D7502" w:rsidRPr="001A6AF1" w:rsidRDefault="001D7502" w:rsidP="00DF4292">
      <w:pPr>
        <w:pStyle w:val="Titre1"/>
      </w:pPr>
      <w:r w:rsidRPr="001A6AF1">
        <w:t xml:space="preserve">Impact </w:t>
      </w:r>
      <w:r w:rsidR="00491F98">
        <w:t>SUR L’ANALYSE FINANCIERE D</w:t>
      </w:r>
      <w:r w:rsidR="00E20DE5">
        <w:t>ES</w:t>
      </w:r>
      <w:r w:rsidRPr="001A6AF1">
        <w:t xml:space="preserve"> associations </w:t>
      </w:r>
      <w:r w:rsidR="00E20DE5">
        <w:t xml:space="preserve">DE L’enseignement catholique </w:t>
      </w:r>
      <w:r w:rsidRPr="001A6AF1">
        <w:t>(propriétaires ou OGEC)</w:t>
      </w:r>
      <w:r w:rsidR="00C41B75">
        <w:t> :</w:t>
      </w:r>
    </w:p>
    <w:p w14:paraId="2E1BDFA2" w14:textId="77777777" w:rsidR="00052891" w:rsidRDefault="001D7502" w:rsidP="00E22125">
      <w:pPr>
        <w:spacing w:after="120" w:line="276" w:lineRule="auto"/>
        <w:ind w:firstLine="0"/>
        <w:jc w:val="both"/>
        <w:rPr>
          <w:rFonts w:asciiTheme="majorHAnsi" w:hAnsiTheme="majorHAnsi" w:cstheme="majorHAnsi"/>
        </w:rPr>
      </w:pPr>
      <w:r w:rsidRPr="001A6AF1">
        <w:rPr>
          <w:rFonts w:asciiTheme="majorHAnsi" w:hAnsiTheme="majorHAnsi" w:cstheme="majorHAnsi"/>
        </w:rPr>
        <w:t>En cas de financement par CBI, il convien</w:t>
      </w:r>
      <w:r w:rsidR="00CF5280">
        <w:rPr>
          <w:rFonts w:asciiTheme="majorHAnsi" w:hAnsiTheme="majorHAnsi" w:cstheme="majorHAnsi"/>
        </w:rPr>
        <w:t>t</w:t>
      </w:r>
      <w:r w:rsidRPr="001A6AF1">
        <w:rPr>
          <w:rFonts w:asciiTheme="majorHAnsi" w:hAnsiTheme="majorHAnsi" w:cstheme="majorHAnsi"/>
        </w:rPr>
        <w:t xml:space="preserve"> d’être prudent dans l’analyse des performances financières de l’entité, en particulier en ce qui concerne la </w:t>
      </w:r>
      <w:r w:rsidR="00DB099A">
        <w:rPr>
          <w:rFonts w:asciiTheme="majorHAnsi" w:hAnsiTheme="majorHAnsi" w:cstheme="majorHAnsi"/>
        </w:rPr>
        <w:t>c</w:t>
      </w:r>
      <w:r w:rsidRPr="001A6AF1">
        <w:rPr>
          <w:rFonts w:asciiTheme="majorHAnsi" w:hAnsiTheme="majorHAnsi" w:cstheme="majorHAnsi"/>
        </w:rPr>
        <w:t xml:space="preserve">apacité d’autofinancement (CAF). </w:t>
      </w:r>
    </w:p>
    <w:p w14:paraId="236D4907" w14:textId="77777777" w:rsidR="00052891" w:rsidRDefault="00052891" w:rsidP="00E22125">
      <w:pPr>
        <w:spacing w:after="120" w:line="276" w:lineRule="auto"/>
        <w:ind w:firstLine="0"/>
        <w:jc w:val="both"/>
        <w:rPr>
          <w:rFonts w:asciiTheme="majorHAnsi" w:hAnsiTheme="majorHAnsi" w:cstheme="majorHAnsi"/>
        </w:rPr>
      </w:pPr>
    </w:p>
    <w:p w14:paraId="2520B83E" w14:textId="77777777" w:rsidR="00BE6462" w:rsidRDefault="00BE6462">
      <w:pPr>
        <w:ind w:firstLine="0"/>
        <w:rPr>
          <w:rFonts w:asciiTheme="majorHAnsi" w:hAnsiTheme="majorHAnsi" w:cstheme="majorHAnsi"/>
        </w:rPr>
      </w:pPr>
      <w:r>
        <w:rPr>
          <w:rFonts w:asciiTheme="majorHAnsi" w:hAnsiTheme="majorHAnsi" w:cstheme="majorHAnsi"/>
        </w:rPr>
        <w:br w:type="page"/>
      </w:r>
    </w:p>
    <w:p w14:paraId="7EFF11A8" w14:textId="5F3C3DEE" w:rsidR="001D7502" w:rsidRPr="001A6AF1" w:rsidRDefault="001D7502" w:rsidP="00E22125">
      <w:pPr>
        <w:spacing w:after="120" w:line="276" w:lineRule="auto"/>
        <w:ind w:firstLine="0"/>
        <w:jc w:val="both"/>
        <w:rPr>
          <w:rFonts w:asciiTheme="majorHAnsi" w:hAnsiTheme="majorHAnsi" w:cstheme="majorHAnsi"/>
        </w:rPr>
      </w:pPr>
      <w:r w:rsidRPr="001A6AF1">
        <w:rPr>
          <w:rFonts w:asciiTheme="majorHAnsi" w:hAnsiTheme="majorHAnsi" w:cstheme="majorHAnsi"/>
        </w:rPr>
        <w:lastRenderedPageBreak/>
        <w:t>En effet :</w:t>
      </w:r>
    </w:p>
    <w:p w14:paraId="1A555418" w14:textId="77777777" w:rsidR="001D7502" w:rsidRPr="001A6AF1" w:rsidRDefault="001D7502" w:rsidP="00F95B6E">
      <w:pPr>
        <w:pStyle w:val="Titre3"/>
        <w:spacing w:after="120"/>
        <w:ind w:left="1281" w:hanging="357"/>
      </w:pPr>
      <w:r w:rsidRPr="001A6AF1">
        <w:t>En crédit classique : on déduit de la CAF les frais financiers et on l’augmente de la quote-part annuelle d’amortissements ; l’amortissement du prêt en principal est constaté par une écriture de bilan ;</w:t>
      </w:r>
    </w:p>
    <w:p w14:paraId="5687CC26" w14:textId="77777777" w:rsidR="001D7502" w:rsidRPr="001A6AF1" w:rsidRDefault="001D7502" w:rsidP="00F95B6E">
      <w:pPr>
        <w:pStyle w:val="Titre3"/>
        <w:spacing w:after="120"/>
        <w:ind w:left="1281" w:hanging="357"/>
      </w:pPr>
      <w:r w:rsidRPr="001A6AF1">
        <w:t xml:space="preserve">En CBI : les loyers sont déductibles selon les modalités décrites ci-dessus. Aucun amortissement n’est constaté puisque le bien n’est pas à l’actif de la structure associative. Une comparaison pertinente dans la durée doit donc prendre la CAF </w:t>
      </w:r>
      <w:r w:rsidRPr="001A6AF1">
        <w:rPr>
          <w:i/>
          <w:u w:val="single"/>
        </w:rPr>
        <w:t>avant loyers</w:t>
      </w:r>
      <w:r w:rsidRPr="001A6AF1">
        <w:t>.</w:t>
      </w:r>
    </w:p>
    <w:p w14:paraId="32AFA6D2" w14:textId="208193FD" w:rsidR="001D7502" w:rsidRDefault="001D7502" w:rsidP="00F95B6E">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Ce retraitement (à </w:t>
      </w:r>
      <w:r w:rsidR="008C677D">
        <w:rPr>
          <w:rFonts w:asciiTheme="majorHAnsi" w:hAnsiTheme="majorHAnsi" w:cstheme="majorHAnsi"/>
        </w:rPr>
        <w:t xml:space="preserve">des </w:t>
      </w:r>
      <w:r w:rsidRPr="001A6AF1">
        <w:rPr>
          <w:rFonts w:asciiTheme="majorHAnsi" w:hAnsiTheme="majorHAnsi" w:cstheme="majorHAnsi"/>
        </w:rPr>
        <w:t>fin</w:t>
      </w:r>
      <w:r w:rsidR="008C677D">
        <w:rPr>
          <w:rFonts w:asciiTheme="majorHAnsi" w:hAnsiTheme="majorHAnsi" w:cstheme="majorHAnsi"/>
        </w:rPr>
        <w:t>s</w:t>
      </w:r>
      <w:r w:rsidRPr="001A6AF1">
        <w:rPr>
          <w:rFonts w:asciiTheme="majorHAnsi" w:hAnsiTheme="majorHAnsi" w:cstheme="majorHAnsi"/>
        </w:rPr>
        <w:t xml:space="preserve"> d’analyse) n’est pas </w:t>
      </w:r>
      <w:r w:rsidR="008117F9">
        <w:rPr>
          <w:rFonts w:asciiTheme="majorHAnsi" w:hAnsiTheme="majorHAnsi" w:cstheme="majorHAnsi"/>
        </w:rPr>
        <w:t>toujours</w:t>
      </w:r>
      <w:r w:rsidRPr="001A6AF1">
        <w:rPr>
          <w:rFonts w:asciiTheme="majorHAnsi" w:hAnsiTheme="majorHAnsi" w:cstheme="majorHAnsi"/>
        </w:rPr>
        <w:t xml:space="preserve"> pratiqué</w:t>
      </w:r>
      <w:r w:rsidR="008117F9">
        <w:rPr>
          <w:rFonts w:asciiTheme="majorHAnsi" w:hAnsiTheme="majorHAnsi" w:cstheme="majorHAnsi"/>
        </w:rPr>
        <w:t>,</w:t>
      </w:r>
      <w:r w:rsidRPr="001A6AF1">
        <w:rPr>
          <w:rFonts w:asciiTheme="majorHAnsi" w:hAnsiTheme="majorHAnsi" w:cstheme="majorHAnsi"/>
        </w:rPr>
        <w:t xml:space="preserve"> </w:t>
      </w:r>
      <w:r w:rsidR="008C677D">
        <w:rPr>
          <w:rFonts w:asciiTheme="majorHAnsi" w:hAnsiTheme="majorHAnsi" w:cstheme="majorHAnsi"/>
        </w:rPr>
        <w:t>bien que l</w:t>
      </w:r>
      <w:r w:rsidRPr="001A6AF1">
        <w:rPr>
          <w:rFonts w:asciiTheme="majorHAnsi" w:hAnsiTheme="majorHAnsi" w:cstheme="majorHAnsi"/>
        </w:rPr>
        <w:t xml:space="preserve">es deux lignes </w:t>
      </w:r>
      <w:r w:rsidR="008C677D">
        <w:rPr>
          <w:rFonts w:asciiTheme="majorHAnsi" w:hAnsiTheme="majorHAnsi" w:cstheme="majorHAnsi"/>
        </w:rPr>
        <w:t>(CAF avant loyer</w:t>
      </w:r>
      <w:r w:rsidR="00E32878">
        <w:rPr>
          <w:rFonts w:asciiTheme="majorHAnsi" w:hAnsiTheme="majorHAnsi" w:cstheme="majorHAnsi"/>
        </w:rPr>
        <w:t xml:space="preserve">s / CAF après loyers) </w:t>
      </w:r>
      <w:r w:rsidRPr="001A6AF1">
        <w:rPr>
          <w:rFonts w:asciiTheme="majorHAnsi" w:hAnsiTheme="majorHAnsi" w:cstheme="majorHAnsi"/>
        </w:rPr>
        <w:t>apparaissent clair</w:t>
      </w:r>
      <w:r w:rsidR="00E32878">
        <w:rPr>
          <w:rFonts w:asciiTheme="majorHAnsi" w:hAnsiTheme="majorHAnsi" w:cstheme="majorHAnsi"/>
        </w:rPr>
        <w:t>eme</w:t>
      </w:r>
      <w:r w:rsidR="006F244B">
        <w:rPr>
          <w:rFonts w:asciiTheme="majorHAnsi" w:hAnsiTheme="majorHAnsi" w:cstheme="majorHAnsi"/>
        </w:rPr>
        <w:t>nt</w:t>
      </w:r>
      <w:r w:rsidRPr="001A6AF1">
        <w:rPr>
          <w:rFonts w:asciiTheme="majorHAnsi" w:hAnsiTheme="majorHAnsi" w:cstheme="majorHAnsi"/>
        </w:rPr>
        <w:t xml:space="preserve"> dans </w:t>
      </w:r>
      <w:r w:rsidR="006F244B">
        <w:rPr>
          <w:rFonts w:asciiTheme="majorHAnsi" w:hAnsiTheme="majorHAnsi" w:cstheme="majorHAnsi"/>
        </w:rPr>
        <w:t xml:space="preserve">l’application </w:t>
      </w:r>
      <w:r w:rsidRPr="001A6AF1">
        <w:rPr>
          <w:rFonts w:asciiTheme="majorHAnsi" w:hAnsiTheme="majorHAnsi" w:cstheme="majorHAnsi"/>
        </w:rPr>
        <w:t>Indices.</w:t>
      </w:r>
    </w:p>
    <w:p w14:paraId="26170AD5" w14:textId="5D075083" w:rsidR="00052891" w:rsidRDefault="00052891" w:rsidP="00F95B6E">
      <w:pPr>
        <w:spacing w:after="120" w:line="276" w:lineRule="auto"/>
        <w:ind w:firstLine="0"/>
        <w:jc w:val="both"/>
        <w:rPr>
          <w:rFonts w:asciiTheme="majorHAnsi" w:hAnsiTheme="majorHAnsi" w:cstheme="majorHAnsi"/>
        </w:rPr>
      </w:pPr>
    </w:p>
    <w:p w14:paraId="6D499AF8" w14:textId="145E3618" w:rsidR="00052891" w:rsidRDefault="00C41B75" w:rsidP="00C41B75">
      <w:pPr>
        <w:pStyle w:val="Titre1"/>
      </w:pPr>
      <w:r>
        <w:t>Qu’advient-il de l’exonération de taxe d’aménagement ?</w:t>
      </w:r>
    </w:p>
    <w:p w14:paraId="1420AD39" w14:textId="419C59DD" w:rsidR="004A6D1E" w:rsidRDefault="004A6D1E" w:rsidP="00052891">
      <w:pPr>
        <w:spacing w:after="120" w:line="276" w:lineRule="auto"/>
        <w:ind w:firstLine="0"/>
        <w:jc w:val="both"/>
        <w:rPr>
          <w:rFonts w:asciiTheme="majorHAnsi" w:hAnsiTheme="majorHAnsi" w:cstheme="majorHAnsi"/>
        </w:rPr>
      </w:pPr>
      <w:r w:rsidRPr="004A6D1E">
        <w:rPr>
          <w:rFonts w:asciiTheme="majorHAnsi" w:hAnsiTheme="majorHAnsi" w:cstheme="majorHAnsi"/>
        </w:rPr>
        <w:t>Les constructions réalisées pour des associations gérant des établissements d’enseignement privés sous contrat avec l’État sont exonérées de taxe d'aménagement</w:t>
      </w:r>
      <w:r w:rsidR="00892AF9">
        <w:rPr>
          <w:rFonts w:asciiTheme="majorHAnsi" w:hAnsiTheme="majorHAnsi" w:cstheme="majorHAnsi"/>
        </w:rPr>
        <w:t xml:space="preserve"> </w:t>
      </w:r>
      <w:r w:rsidR="007C7EC7">
        <w:rPr>
          <w:rFonts w:asciiTheme="majorHAnsi" w:hAnsiTheme="majorHAnsi" w:cstheme="majorHAnsi"/>
        </w:rPr>
        <w:t>(voir fiche pratique</w:t>
      </w:r>
      <w:r w:rsidR="0017088F">
        <w:rPr>
          <w:rFonts w:asciiTheme="majorHAnsi" w:hAnsiTheme="majorHAnsi" w:cstheme="majorHAnsi"/>
        </w:rPr>
        <w:t xml:space="preserve"> : </w:t>
      </w:r>
      <w:hyperlink r:id="rId13" w:history="1">
        <w:r w:rsidR="0017088F" w:rsidRPr="00026951">
          <w:rPr>
            <w:rStyle w:val="Lienhypertexte"/>
            <w:rFonts w:asciiTheme="majorHAnsi" w:hAnsiTheme="majorHAnsi" w:cstheme="majorHAnsi"/>
          </w:rPr>
          <w:t>http://www.fnogec.org/immobilier/fiscalite-immobiliere/la-taxe-damenagement</w:t>
        </w:r>
      </w:hyperlink>
      <w:r w:rsidR="0017088F">
        <w:rPr>
          <w:rFonts w:asciiTheme="majorHAnsi" w:hAnsiTheme="majorHAnsi" w:cstheme="majorHAnsi"/>
        </w:rPr>
        <w:t>).</w:t>
      </w:r>
    </w:p>
    <w:p w14:paraId="4CD1385C" w14:textId="7AA82734" w:rsidR="00052891" w:rsidRDefault="00892AF9" w:rsidP="00052891">
      <w:pPr>
        <w:spacing w:after="120" w:line="276" w:lineRule="auto"/>
        <w:ind w:firstLine="0"/>
        <w:jc w:val="both"/>
        <w:rPr>
          <w:rFonts w:asciiTheme="majorHAnsi" w:hAnsiTheme="majorHAnsi" w:cstheme="majorHAnsi"/>
        </w:rPr>
      </w:pPr>
      <w:r w:rsidRPr="00B96EF8">
        <w:rPr>
          <w:rFonts w:asciiTheme="majorHAnsi" w:hAnsiTheme="majorHAnsi" w:cstheme="majorHAnsi"/>
        </w:rPr>
        <w:t xml:space="preserve">Dans le cadre </w:t>
      </w:r>
      <w:r>
        <w:rPr>
          <w:rFonts w:asciiTheme="majorHAnsi" w:hAnsiTheme="majorHAnsi" w:cstheme="majorHAnsi"/>
        </w:rPr>
        <w:t>d’un crédit-bail immobilier,</w:t>
      </w:r>
      <w:r w:rsidRPr="00B96EF8">
        <w:rPr>
          <w:rFonts w:asciiTheme="majorHAnsi" w:hAnsiTheme="majorHAnsi" w:cstheme="majorHAnsi"/>
        </w:rPr>
        <w:t xml:space="preserve"> </w:t>
      </w:r>
      <w:r>
        <w:rPr>
          <w:rFonts w:asciiTheme="majorHAnsi" w:hAnsiTheme="majorHAnsi" w:cstheme="majorHAnsi"/>
        </w:rPr>
        <w:t>l</w:t>
      </w:r>
      <w:r w:rsidR="00052891" w:rsidRPr="00B96EF8">
        <w:rPr>
          <w:rFonts w:asciiTheme="majorHAnsi" w:hAnsiTheme="majorHAnsi" w:cstheme="majorHAnsi"/>
        </w:rPr>
        <w:t>e crédit</w:t>
      </w:r>
      <w:r>
        <w:rPr>
          <w:rFonts w:asciiTheme="majorHAnsi" w:hAnsiTheme="majorHAnsi" w:cstheme="majorHAnsi"/>
        </w:rPr>
        <w:t>-</w:t>
      </w:r>
      <w:r w:rsidR="00052891" w:rsidRPr="00B96EF8">
        <w:rPr>
          <w:rFonts w:asciiTheme="majorHAnsi" w:hAnsiTheme="majorHAnsi" w:cstheme="majorHAnsi"/>
        </w:rPr>
        <w:t xml:space="preserve">preneur est titulaire du </w:t>
      </w:r>
      <w:r>
        <w:rPr>
          <w:rFonts w:asciiTheme="majorHAnsi" w:hAnsiTheme="majorHAnsi" w:cstheme="majorHAnsi"/>
        </w:rPr>
        <w:t>permis de construire</w:t>
      </w:r>
      <w:r w:rsidR="00052891" w:rsidRPr="00B96EF8">
        <w:rPr>
          <w:rFonts w:asciiTheme="majorHAnsi" w:hAnsiTheme="majorHAnsi" w:cstheme="majorHAnsi"/>
        </w:rPr>
        <w:t xml:space="preserve"> et maître d’ouvrage délégué. </w:t>
      </w:r>
      <w:r w:rsidR="00724559">
        <w:rPr>
          <w:rFonts w:asciiTheme="majorHAnsi" w:hAnsiTheme="majorHAnsi" w:cstheme="majorHAnsi"/>
        </w:rPr>
        <w:t>C’est lui qui</w:t>
      </w:r>
      <w:r w:rsidR="00052891" w:rsidRPr="00B96EF8">
        <w:rPr>
          <w:rFonts w:asciiTheme="majorHAnsi" w:hAnsiTheme="majorHAnsi" w:cstheme="majorHAnsi"/>
        </w:rPr>
        <w:t xml:space="preserve"> est titulaire des autorisations administratives </w:t>
      </w:r>
      <w:r w:rsidR="00724559">
        <w:rPr>
          <w:rFonts w:asciiTheme="majorHAnsi" w:hAnsiTheme="majorHAnsi" w:cstheme="majorHAnsi"/>
        </w:rPr>
        <w:t xml:space="preserve">et </w:t>
      </w:r>
      <w:r w:rsidR="00052891" w:rsidRPr="00B96EF8">
        <w:rPr>
          <w:rFonts w:asciiTheme="majorHAnsi" w:hAnsiTheme="majorHAnsi" w:cstheme="majorHAnsi"/>
        </w:rPr>
        <w:t>qui est redevable</w:t>
      </w:r>
      <w:r w:rsidR="00724559">
        <w:rPr>
          <w:rFonts w:asciiTheme="majorHAnsi" w:hAnsiTheme="majorHAnsi" w:cstheme="majorHAnsi"/>
        </w:rPr>
        <w:t>, le cas échéant,</w:t>
      </w:r>
      <w:r w:rsidR="00052891" w:rsidRPr="00B96EF8">
        <w:rPr>
          <w:rFonts w:asciiTheme="majorHAnsi" w:hAnsiTheme="majorHAnsi" w:cstheme="majorHAnsi"/>
        </w:rPr>
        <w:t xml:space="preserve"> de </w:t>
      </w:r>
      <w:r w:rsidR="00724559">
        <w:rPr>
          <w:rFonts w:asciiTheme="majorHAnsi" w:hAnsiTheme="majorHAnsi" w:cstheme="majorHAnsi"/>
        </w:rPr>
        <w:t xml:space="preserve">la </w:t>
      </w:r>
      <w:r w:rsidR="00052891" w:rsidRPr="00B96EF8">
        <w:rPr>
          <w:rFonts w:asciiTheme="majorHAnsi" w:hAnsiTheme="majorHAnsi" w:cstheme="majorHAnsi"/>
        </w:rPr>
        <w:t xml:space="preserve">taxe d’aménagement. Le permis </w:t>
      </w:r>
      <w:r w:rsidR="00512CCB">
        <w:rPr>
          <w:rFonts w:asciiTheme="majorHAnsi" w:hAnsiTheme="majorHAnsi" w:cstheme="majorHAnsi"/>
        </w:rPr>
        <w:t xml:space="preserve">de construire </w:t>
      </w:r>
      <w:r w:rsidR="00052891" w:rsidRPr="00B96EF8">
        <w:rPr>
          <w:rFonts w:asciiTheme="majorHAnsi" w:hAnsiTheme="majorHAnsi" w:cstheme="majorHAnsi"/>
        </w:rPr>
        <w:t>n</w:t>
      </w:r>
      <w:r w:rsidR="00512CCB">
        <w:rPr>
          <w:rFonts w:asciiTheme="majorHAnsi" w:hAnsiTheme="majorHAnsi" w:cstheme="majorHAnsi"/>
        </w:rPr>
        <w:t>’est</w:t>
      </w:r>
      <w:r w:rsidR="00052891" w:rsidRPr="00B96EF8">
        <w:rPr>
          <w:rFonts w:asciiTheme="majorHAnsi" w:hAnsiTheme="majorHAnsi" w:cstheme="majorHAnsi"/>
        </w:rPr>
        <w:t xml:space="preserve"> pas transféré au crédit-bailleur</w:t>
      </w:r>
      <w:r w:rsidR="00512CCB">
        <w:rPr>
          <w:rFonts w:asciiTheme="majorHAnsi" w:hAnsiTheme="majorHAnsi" w:cstheme="majorHAnsi"/>
        </w:rPr>
        <w:t>. Donc l’exonération de taxe d’aménagement</w:t>
      </w:r>
      <w:r w:rsidR="00052891" w:rsidRPr="00B96EF8">
        <w:rPr>
          <w:rFonts w:asciiTheme="majorHAnsi" w:hAnsiTheme="majorHAnsi" w:cstheme="majorHAnsi"/>
        </w:rPr>
        <w:t xml:space="preserve"> </w:t>
      </w:r>
      <w:r w:rsidR="00115EF3">
        <w:rPr>
          <w:rFonts w:asciiTheme="majorHAnsi" w:hAnsiTheme="majorHAnsi" w:cstheme="majorHAnsi"/>
        </w:rPr>
        <w:t>étant</w:t>
      </w:r>
      <w:r w:rsidR="00052891" w:rsidRPr="00B96EF8">
        <w:rPr>
          <w:rFonts w:asciiTheme="majorHAnsi" w:hAnsiTheme="majorHAnsi" w:cstheme="majorHAnsi"/>
        </w:rPr>
        <w:t xml:space="preserve"> liée à la qualité de la personne titulaire de l’autorisation, </w:t>
      </w:r>
      <w:r w:rsidR="002D371D">
        <w:rPr>
          <w:rFonts w:asciiTheme="majorHAnsi" w:hAnsiTheme="majorHAnsi" w:cstheme="majorHAnsi"/>
        </w:rPr>
        <w:t>elle est acquise quel que soit le mode de financement retenu pour la construction.</w:t>
      </w:r>
    </w:p>
    <w:p w14:paraId="1FF4DD5E" w14:textId="77777777" w:rsidR="002D371D" w:rsidRPr="00B96EF8" w:rsidRDefault="002D371D" w:rsidP="00052891">
      <w:pPr>
        <w:spacing w:after="120" w:line="276" w:lineRule="auto"/>
        <w:ind w:firstLine="0"/>
        <w:jc w:val="both"/>
        <w:rPr>
          <w:rFonts w:asciiTheme="majorHAnsi" w:hAnsiTheme="majorHAnsi" w:cstheme="majorHAnsi"/>
        </w:rPr>
      </w:pPr>
    </w:p>
    <w:p w14:paraId="179F980A" w14:textId="1C2A89B9" w:rsidR="001D7502" w:rsidRPr="001A6AF1" w:rsidRDefault="001D7502" w:rsidP="00DF4292">
      <w:pPr>
        <w:pStyle w:val="Titre1"/>
      </w:pPr>
      <w:r w:rsidRPr="001A6AF1">
        <w:t>Garanties complémentaires éventuelles demandées par la banque</w:t>
      </w:r>
      <w:r w:rsidR="003E3637">
        <w:t> :</w:t>
      </w:r>
    </w:p>
    <w:p w14:paraId="609871A0" w14:textId="77777777" w:rsidR="001D7502" w:rsidRPr="001A6AF1" w:rsidRDefault="001D7502" w:rsidP="003E3637">
      <w:pPr>
        <w:spacing w:after="120" w:line="276" w:lineRule="auto"/>
        <w:ind w:firstLine="0"/>
        <w:jc w:val="both"/>
        <w:rPr>
          <w:rFonts w:asciiTheme="majorHAnsi" w:hAnsiTheme="majorHAnsi" w:cstheme="majorHAnsi"/>
        </w:rPr>
      </w:pPr>
      <w:r w:rsidRPr="001A6AF1">
        <w:rPr>
          <w:rFonts w:asciiTheme="majorHAnsi" w:hAnsiTheme="majorHAnsi" w:cstheme="majorHAnsi"/>
        </w:rPr>
        <w:t>Dans la mesure où la banque va avoir la propriété juridique de l’actif pendant la durée du contrat, elle va examiner deux types de risques :</w:t>
      </w:r>
    </w:p>
    <w:p w14:paraId="534BF797" w14:textId="77777777" w:rsidR="001D7502" w:rsidRPr="001A6AF1" w:rsidRDefault="001D7502" w:rsidP="00D51085">
      <w:pPr>
        <w:pStyle w:val="Titre3"/>
        <w:spacing w:after="120"/>
        <w:ind w:left="1281" w:hanging="357"/>
      </w:pPr>
      <w:r w:rsidRPr="001A6AF1">
        <w:t>Immobilier : valeur du bien au regard de son état, sa situation, possibilités de revente en cas de défaillance du preneur, etc.</w:t>
      </w:r>
    </w:p>
    <w:p w14:paraId="24664E59" w14:textId="629D4383" w:rsidR="001D7502" w:rsidRPr="001A6AF1" w:rsidRDefault="001D7502" w:rsidP="00D51085">
      <w:pPr>
        <w:pStyle w:val="Titre3"/>
        <w:spacing w:after="120"/>
        <w:ind w:left="1281" w:hanging="357"/>
      </w:pPr>
      <w:r w:rsidRPr="001A6AF1">
        <w:t xml:space="preserve">Contrepartie évidemment : </w:t>
      </w:r>
      <w:r w:rsidRPr="001A6AF1">
        <w:rPr>
          <w:i/>
        </w:rPr>
        <w:t>in fine</w:t>
      </w:r>
      <w:r w:rsidRPr="001A6AF1">
        <w:t>, c’est l’O</w:t>
      </w:r>
      <w:r w:rsidR="0029366D">
        <w:t>gec</w:t>
      </w:r>
      <w:r w:rsidRPr="001A6AF1">
        <w:t xml:space="preserve"> qui règle les loyers. Si l’O</w:t>
      </w:r>
      <w:r w:rsidR="0029366D">
        <w:t>gec</w:t>
      </w:r>
      <w:r w:rsidRPr="001A6AF1">
        <w:t xml:space="preserve"> est en direct dans l’opération, celle-ci ne nécessitera pas de garanties complémentaires a priori. Si</w:t>
      </w:r>
      <w:r w:rsidR="0029366D">
        <w:t>,</w:t>
      </w:r>
      <w:r w:rsidRPr="001A6AF1">
        <w:t xml:space="preserve"> en revanche</w:t>
      </w:r>
      <w:r w:rsidR="0029366D">
        <w:t>,</w:t>
      </w:r>
      <w:r w:rsidRPr="001A6AF1">
        <w:t xml:space="preserve"> l’opération se fait par l’intermédiaire d’une association propriétaire, une demande de cession de loyers ou de nantissement de valeurs mobilières peut être envisagée par l’établissement bancaire.</w:t>
      </w:r>
    </w:p>
    <w:p w14:paraId="03D874CB" w14:textId="7E360073" w:rsidR="005F015B" w:rsidRDefault="005F015B">
      <w:pPr>
        <w:ind w:firstLine="0"/>
        <w:rPr>
          <w:rFonts w:asciiTheme="majorHAnsi" w:hAnsiTheme="majorHAnsi" w:cstheme="majorHAnsi"/>
        </w:rPr>
      </w:pPr>
      <w:r>
        <w:rPr>
          <w:rFonts w:asciiTheme="majorHAnsi" w:hAnsiTheme="majorHAnsi" w:cstheme="majorHAnsi"/>
        </w:rPr>
        <w:br w:type="page"/>
      </w:r>
    </w:p>
    <w:p w14:paraId="220535A9" w14:textId="7050FC0E" w:rsidR="001D7502" w:rsidRDefault="007640C9" w:rsidP="005F015B">
      <w:pPr>
        <w:pStyle w:val="Sansinterligne"/>
        <w:spacing w:after="120"/>
        <w:contextualSpacing w:val="0"/>
        <w:jc w:val="center"/>
      </w:pPr>
      <w:r>
        <w:lastRenderedPageBreak/>
        <w:t>CONCLUSION</w:t>
      </w:r>
      <w:r w:rsidR="001D7502" w:rsidRPr="001A6AF1">
        <w:t> :</w:t>
      </w:r>
    </w:p>
    <w:p w14:paraId="0CCBD554" w14:textId="77777777" w:rsidR="005F015B" w:rsidRPr="005F015B" w:rsidRDefault="005F015B" w:rsidP="005F015B"/>
    <w:p w14:paraId="3CE86ACA" w14:textId="1AC5A6BE" w:rsidR="001D7502" w:rsidRPr="009C0EFC" w:rsidRDefault="001D7502" w:rsidP="009C0EFC">
      <w:pPr>
        <w:pStyle w:val="Paragraphedeliste"/>
        <w:numPr>
          <w:ilvl w:val="0"/>
          <w:numId w:val="9"/>
        </w:numPr>
        <w:ind w:left="714" w:hanging="357"/>
        <w:contextualSpacing w:val="0"/>
        <w:rPr>
          <w:sz w:val="24"/>
          <w:szCs w:val="24"/>
        </w:rPr>
      </w:pPr>
      <w:r w:rsidRPr="009C0EFC">
        <w:rPr>
          <w:b/>
          <w:sz w:val="24"/>
          <w:szCs w:val="24"/>
        </w:rPr>
        <w:t>Aucun avantage financier ou fiscal</w:t>
      </w:r>
      <w:r w:rsidRPr="009C0EFC">
        <w:rPr>
          <w:sz w:val="24"/>
          <w:szCs w:val="24"/>
        </w:rPr>
        <w:t xml:space="preserve"> dans les comptes de l’association</w:t>
      </w:r>
      <w:r w:rsidR="009457BF">
        <w:rPr>
          <w:sz w:val="24"/>
          <w:szCs w:val="24"/>
        </w:rPr>
        <w:t>.</w:t>
      </w:r>
    </w:p>
    <w:p w14:paraId="3B558B6B" w14:textId="5E19998E" w:rsidR="001D7502" w:rsidRPr="009C0EFC" w:rsidRDefault="001D7502" w:rsidP="009C0EFC">
      <w:pPr>
        <w:pStyle w:val="Paragraphedeliste"/>
        <w:numPr>
          <w:ilvl w:val="0"/>
          <w:numId w:val="9"/>
        </w:numPr>
        <w:ind w:left="714" w:hanging="357"/>
        <w:contextualSpacing w:val="0"/>
        <w:rPr>
          <w:sz w:val="24"/>
          <w:szCs w:val="24"/>
        </w:rPr>
      </w:pPr>
      <w:r w:rsidRPr="009C0EFC">
        <w:rPr>
          <w:sz w:val="24"/>
          <w:szCs w:val="24"/>
        </w:rPr>
        <w:t>Taux d’</w:t>
      </w:r>
      <w:r w:rsidR="00741369" w:rsidRPr="009C0EFC">
        <w:rPr>
          <w:sz w:val="24"/>
          <w:szCs w:val="24"/>
        </w:rPr>
        <w:t>intérêt</w:t>
      </w:r>
      <w:r w:rsidRPr="009C0EFC">
        <w:rPr>
          <w:sz w:val="24"/>
          <w:szCs w:val="24"/>
        </w:rPr>
        <w:t xml:space="preserve"> à peu près similaires à ceux du crédit classique</w:t>
      </w:r>
      <w:r w:rsidR="009457BF">
        <w:rPr>
          <w:sz w:val="24"/>
          <w:szCs w:val="24"/>
        </w:rPr>
        <w:t>.</w:t>
      </w:r>
    </w:p>
    <w:p w14:paraId="5BD25F03" w14:textId="3C936B48" w:rsidR="001D7502" w:rsidRPr="009C0EFC" w:rsidRDefault="001D7502" w:rsidP="009C0EFC">
      <w:pPr>
        <w:pStyle w:val="Paragraphedeliste"/>
        <w:numPr>
          <w:ilvl w:val="0"/>
          <w:numId w:val="9"/>
        </w:numPr>
        <w:ind w:left="714" w:hanging="357"/>
        <w:contextualSpacing w:val="0"/>
        <w:rPr>
          <w:sz w:val="24"/>
          <w:szCs w:val="24"/>
        </w:rPr>
      </w:pPr>
      <w:r w:rsidRPr="009C0EFC">
        <w:rPr>
          <w:sz w:val="24"/>
          <w:szCs w:val="24"/>
        </w:rPr>
        <w:t>Transfert de propriété d’un bien d’Eglise</w:t>
      </w:r>
      <w:r w:rsidR="009457BF">
        <w:rPr>
          <w:sz w:val="24"/>
          <w:szCs w:val="24"/>
        </w:rPr>
        <w:t>.</w:t>
      </w:r>
    </w:p>
    <w:p w14:paraId="3093D972" w14:textId="5EAD2EF6" w:rsidR="001D7502" w:rsidRPr="009C0EFC" w:rsidRDefault="001D7502" w:rsidP="009C0EFC">
      <w:pPr>
        <w:pStyle w:val="Paragraphedeliste"/>
        <w:numPr>
          <w:ilvl w:val="0"/>
          <w:numId w:val="9"/>
        </w:numPr>
        <w:ind w:left="714" w:hanging="357"/>
        <w:contextualSpacing w:val="0"/>
        <w:rPr>
          <w:sz w:val="24"/>
          <w:szCs w:val="24"/>
        </w:rPr>
      </w:pPr>
      <w:r w:rsidRPr="009C0EFC">
        <w:rPr>
          <w:b/>
          <w:sz w:val="24"/>
          <w:szCs w:val="24"/>
        </w:rPr>
        <w:t>Suivi difficile du contrat en cours de vie</w:t>
      </w:r>
      <w:r w:rsidRPr="009C0EFC">
        <w:rPr>
          <w:sz w:val="24"/>
          <w:szCs w:val="24"/>
        </w:rPr>
        <w:t xml:space="preserve"> : si des travaux doivent être réalisés dans le bâtiment (ce qui est quasiment certain sur une durée de </w:t>
      </w:r>
      <w:r w:rsidR="003D3893" w:rsidRPr="009C0EFC">
        <w:rPr>
          <w:sz w:val="24"/>
          <w:szCs w:val="24"/>
        </w:rPr>
        <w:t>15</w:t>
      </w:r>
      <w:r w:rsidRPr="009C0EFC">
        <w:rPr>
          <w:sz w:val="24"/>
          <w:szCs w:val="24"/>
        </w:rPr>
        <w:t xml:space="preserve"> à </w:t>
      </w:r>
      <w:r w:rsidR="003D3893" w:rsidRPr="009C0EFC">
        <w:rPr>
          <w:sz w:val="24"/>
          <w:szCs w:val="24"/>
        </w:rPr>
        <w:t>20</w:t>
      </w:r>
      <w:r w:rsidRPr="009C0EFC">
        <w:rPr>
          <w:sz w:val="24"/>
          <w:szCs w:val="24"/>
        </w:rPr>
        <w:t xml:space="preserve"> ans), le crédit-bailleur n’a pas d’obligation de les financer. En cas de refus par le comité de crédit et financement en direct ou par un crédit classique auprès d’un autre établissement, cela revient à redonner de la valeur à un bien </w:t>
      </w:r>
      <w:r w:rsidR="00727A1B" w:rsidRPr="009C0EFC">
        <w:rPr>
          <w:sz w:val="24"/>
          <w:szCs w:val="24"/>
        </w:rPr>
        <w:t xml:space="preserve">qui, </w:t>
      </w:r>
      <w:r w:rsidRPr="009C0EFC">
        <w:rPr>
          <w:sz w:val="24"/>
          <w:szCs w:val="24"/>
        </w:rPr>
        <w:t>juridiquement</w:t>
      </w:r>
      <w:r w:rsidR="00727A1B" w:rsidRPr="009C0EFC">
        <w:rPr>
          <w:sz w:val="24"/>
          <w:szCs w:val="24"/>
        </w:rPr>
        <w:t>,</w:t>
      </w:r>
      <w:r w:rsidRPr="009C0EFC">
        <w:rPr>
          <w:sz w:val="24"/>
          <w:szCs w:val="24"/>
        </w:rPr>
        <w:t xml:space="preserve"> </w:t>
      </w:r>
      <w:r w:rsidR="00727A1B" w:rsidRPr="009C0EFC">
        <w:rPr>
          <w:sz w:val="24"/>
          <w:szCs w:val="24"/>
        </w:rPr>
        <w:t xml:space="preserve">n’est pas la </w:t>
      </w:r>
      <w:r w:rsidRPr="009C0EFC">
        <w:rPr>
          <w:sz w:val="24"/>
          <w:szCs w:val="24"/>
        </w:rPr>
        <w:t xml:space="preserve">propriété de l’Enseignement </w:t>
      </w:r>
      <w:r w:rsidR="00F250B6" w:rsidRPr="009C0EFC">
        <w:rPr>
          <w:sz w:val="24"/>
          <w:szCs w:val="24"/>
        </w:rPr>
        <w:t>c</w:t>
      </w:r>
      <w:r w:rsidRPr="009C0EFC">
        <w:rPr>
          <w:sz w:val="24"/>
          <w:szCs w:val="24"/>
        </w:rPr>
        <w:t xml:space="preserve">atholique. Or, </w:t>
      </w:r>
      <w:r w:rsidR="00A20356" w:rsidRPr="009C0EFC">
        <w:rPr>
          <w:sz w:val="24"/>
          <w:szCs w:val="24"/>
        </w:rPr>
        <w:t>les</w:t>
      </w:r>
      <w:r w:rsidRPr="009C0EFC">
        <w:rPr>
          <w:sz w:val="24"/>
          <w:szCs w:val="24"/>
        </w:rPr>
        <w:t xml:space="preserve"> bénévoles et chefs d’établissement à l’origine du projet se renouvellent. Il est également difficile de céder l’immeuble en cours de contrat (très difficile de vendre un contrat de CBI). </w:t>
      </w:r>
    </w:p>
    <w:p w14:paraId="3309BEB6" w14:textId="67ED6FFB" w:rsidR="001D7502" w:rsidRPr="009C0EFC" w:rsidRDefault="001D7502" w:rsidP="009C0EFC">
      <w:pPr>
        <w:pStyle w:val="Paragraphedeliste"/>
        <w:numPr>
          <w:ilvl w:val="0"/>
          <w:numId w:val="9"/>
        </w:numPr>
        <w:ind w:left="714" w:hanging="357"/>
        <w:contextualSpacing w:val="0"/>
        <w:rPr>
          <w:sz w:val="24"/>
          <w:szCs w:val="24"/>
        </w:rPr>
      </w:pPr>
      <w:r w:rsidRPr="009C0EFC">
        <w:rPr>
          <w:sz w:val="24"/>
          <w:szCs w:val="24"/>
        </w:rPr>
        <w:t xml:space="preserve">Montage juridique complexe à appréhender dans le cadre de </w:t>
      </w:r>
      <w:r w:rsidRPr="009C0EFC">
        <w:rPr>
          <w:b/>
          <w:sz w:val="24"/>
          <w:szCs w:val="24"/>
        </w:rPr>
        <w:t>regroupement d’O</w:t>
      </w:r>
      <w:r w:rsidR="00D00195" w:rsidRPr="009C0EFC">
        <w:rPr>
          <w:b/>
          <w:sz w:val="24"/>
          <w:szCs w:val="24"/>
        </w:rPr>
        <w:t>gec</w:t>
      </w:r>
      <w:r w:rsidRPr="009C0EFC">
        <w:rPr>
          <w:b/>
          <w:sz w:val="24"/>
          <w:szCs w:val="24"/>
        </w:rPr>
        <w:t xml:space="preserve"> ou </w:t>
      </w:r>
      <w:r w:rsidR="00D00195" w:rsidRPr="009C0EFC">
        <w:rPr>
          <w:b/>
          <w:sz w:val="24"/>
          <w:szCs w:val="24"/>
        </w:rPr>
        <w:t>a</w:t>
      </w:r>
      <w:r w:rsidRPr="009C0EFC">
        <w:rPr>
          <w:b/>
          <w:sz w:val="24"/>
          <w:szCs w:val="24"/>
        </w:rPr>
        <w:t xml:space="preserve">ssociations </w:t>
      </w:r>
      <w:r w:rsidR="00D00195" w:rsidRPr="009C0EFC">
        <w:rPr>
          <w:b/>
          <w:sz w:val="24"/>
          <w:szCs w:val="24"/>
        </w:rPr>
        <w:t>i</w:t>
      </w:r>
      <w:r w:rsidRPr="009C0EFC">
        <w:rPr>
          <w:b/>
          <w:sz w:val="24"/>
          <w:szCs w:val="24"/>
        </w:rPr>
        <w:t>mmobilières</w:t>
      </w:r>
      <w:r w:rsidR="009457BF">
        <w:rPr>
          <w:sz w:val="24"/>
          <w:szCs w:val="24"/>
        </w:rPr>
        <w:t>.</w:t>
      </w:r>
    </w:p>
    <w:p w14:paraId="17E60CDC" w14:textId="3A4DA33B" w:rsidR="001D7502" w:rsidRPr="009C0EFC" w:rsidRDefault="001D7502" w:rsidP="009C0EFC">
      <w:pPr>
        <w:pStyle w:val="Paragraphedeliste"/>
        <w:numPr>
          <w:ilvl w:val="0"/>
          <w:numId w:val="9"/>
        </w:numPr>
        <w:ind w:left="714" w:hanging="357"/>
        <w:contextualSpacing w:val="0"/>
        <w:rPr>
          <w:sz w:val="24"/>
          <w:szCs w:val="24"/>
        </w:rPr>
      </w:pPr>
      <w:r w:rsidRPr="009C0EFC">
        <w:rPr>
          <w:sz w:val="24"/>
          <w:szCs w:val="24"/>
        </w:rPr>
        <w:t xml:space="preserve">Pression énorme de la </w:t>
      </w:r>
      <w:r w:rsidR="00143D72" w:rsidRPr="009C0EFC">
        <w:rPr>
          <w:sz w:val="24"/>
          <w:szCs w:val="24"/>
        </w:rPr>
        <w:t>b</w:t>
      </w:r>
      <w:r w:rsidRPr="009C0EFC">
        <w:rPr>
          <w:sz w:val="24"/>
          <w:szCs w:val="24"/>
        </w:rPr>
        <w:t>anque en cas de cessation de paiement</w:t>
      </w:r>
      <w:r w:rsidR="003F7C25" w:rsidRPr="009C0EFC">
        <w:rPr>
          <w:sz w:val="24"/>
          <w:szCs w:val="24"/>
        </w:rPr>
        <w:t>s,</w:t>
      </w:r>
      <w:r w:rsidRPr="009C0EFC">
        <w:rPr>
          <w:sz w:val="24"/>
          <w:szCs w:val="24"/>
        </w:rPr>
        <w:t xml:space="preserve"> qui va obliger la tutelle à refinancer </w:t>
      </w:r>
      <w:r w:rsidR="00142CFA" w:rsidRPr="009C0EFC">
        <w:rPr>
          <w:sz w:val="24"/>
          <w:szCs w:val="24"/>
        </w:rPr>
        <w:t xml:space="preserve">l’opération, </w:t>
      </w:r>
      <w:r w:rsidRPr="009C0EFC">
        <w:rPr>
          <w:sz w:val="24"/>
          <w:szCs w:val="24"/>
        </w:rPr>
        <w:t>au risque de perdre le bâtiment, voire le terrain. En effet, en crédit classique, selon les spécificités de l’immobilier (à voir au cas par cas donc), l’établissement bancaire n’a pas nécessairement intérêt à faire jouer sa garantie hypothécaire. En crédit-bail, il est propriétaire depuis l’origine du contrat, ce qui modifie très significativement l’approche</w:t>
      </w:r>
      <w:r w:rsidR="004222CC" w:rsidRPr="009C0EFC">
        <w:rPr>
          <w:sz w:val="24"/>
          <w:szCs w:val="24"/>
        </w:rPr>
        <w:t xml:space="preserve"> du</w:t>
      </w:r>
      <w:r w:rsidRPr="009C0EFC">
        <w:rPr>
          <w:sz w:val="24"/>
          <w:szCs w:val="24"/>
        </w:rPr>
        <w:t xml:space="preserve"> risque.</w:t>
      </w:r>
    </w:p>
    <w:p w14:paraId="6F8804FF" w14:textId="77777777" w:rsidR="001D7502" w:rsidRPr="001A6AF1" w:rsidRDefault="001D7502" w:rsidP="007A3EF4">
      <w:pPr>
        <w:spacing w:after="120" w:line="276" w:lineRule="auto"/>
        <w:rPr>
          <w:rFonts w:asciiTheme="majorHAnsi" w:hAnsiTheme="majorHAnsi" w:cstheme="majorHAnsi"/>
        </w:rPr>
      </w:pPr>
      <w:r w:rsidRPr="001A6AF1">
        <w:rPr>
          <w:rFonts w:asciiTheme="majorHAnsi" w:hAnsiTheme="majorHAnsi" w:cstheme="majorHAnsi"/>
        </w:rPr>
        <w:br w:type="page"/>
      </w:r>
    </w:p>
    <w:p w14:paraId="5034A9DD" w14:textId="2CDBA700" w:rsidR="001D7502" w:rsidRPr="001A6AF1" w:rsidRDefault="003E3637" w:rsidP="003E3637">
      <w:pPr>
        <w:pStyle w:val="Sansinterligne"/>
        <w:spacing w:after="120"/>
        <w:contextualSpacing w:val="0"/>
        <w:jc w:val="center"/>
      </w:pPr>
      <w:r w:rsidRPr="003E3637">
        <w:rPr>
          <w:b w:val="0"/>
          <w:bCs w:val="0"/>
          <w:caps w:val="0"/>
        </w:rPr>
        <w:lastRenderedPageBreak/>
        <w:t>-</w:t>
      </w:r>
      <w:r>
        <w:t xml:space="preserve"> </w:t>
      </w:r>
      <w:r w:rsidR="001D7502" w:rsidRPr="001A6AF1">
        <w:t>ANNEXE</w:t>
      </w:r>
      <w:r>
        <w:t xml:space="preserve"> -</w:t>
      </w:r>
      <w:r>
        <w:br/>
      </w:r>
      <w:r w:rsidR="001D7502" w:rsidRPr="001A6AF1">
        <w:t>CAS PRATIQUE</w:t>
      </w:r>
      <w:r>
        <w:t> :</w:t>
      </w:r>
      <w:r w:rsidR="001D7502" w:rsidRPr="001A6AF1">
        <w:t xml:space="preserve"> Etude d’un projet de CBI</w:t>
      </w:r>
    </w:p>
    <w:p w14:paraId="412AC9D8" w14:textId="031865F0" w:rsidR="001D7502" w:rsidRPr="001A6AF1" w:rsidRDefault="001D7502" w:rsidP="00DF4292">
      <w:pPr>
        <w:pStyle w:val="Titre1"/>
      </w:pPr>
      <w:r w:rsidRPr="001A6AF1">
        <w:t>Configuration de départ</w:t>
      </w:r>
      <w:r w:rsidR="003B3733">
        <w:t> :</w:t>
      </w:r>
    </w:p>
    <w:p w14:paraId="218E4AF2" w14:textId="77777777"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Groupe scolaire, de la maternelle au BTS. </w:t>
      </w:r>
    </w:p>
    <w:p w14:paraId="6ADDF9D5" w14:textId="77777777"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2200 élèves environ, répartis sur deux sites (un pour l’école-collège-lycée, un pour le supérieur) situés en centre-ville d’une ville moyenne de province. Les locaux sont vétustes et l’environnement immédiat peu attractif. D’importants travaux, tant de rénovation que de mise aux normes, sont à réaliser.</w:t>
      </w:r>
    </w:p>
    <w:p w14:paraId="2F6C3FDB" w14:textId="77777777" w:rsidR="00DD3807"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Sur le plan financier, l’établissement a connu des difficultés il y a quatre à cinq ans. Si le nombre d’élèves est resté stable dans la durée, le résultat courant était négatif de près de 10% des produits courants.</w:t>
      </w:r>
    </w:p>
    <w:p w14:paraId="1F45B8C2" w14:textId="7E7025EF" w:rsidR="00DD3807" w:rsidRDefault="001D7502" w:rsidP="00B14097">
      <w:pPr>
        <w:spacing w:after="120" w:line="276" w:lineRule="auto"/>
        <w:ind w:firstLine="0"/>
        <w:jc w:val="both"/>
      </w:pPr>
      <w:r w:rsidRPr="001A6AF1">
        <w:rPr>
          <w:rFonts w:asciiTheme="majorHAnsi" w:hAnsiTheme="majorHAnsi" w:cstheme="majorHAnsi"/>
        </w:rPr>
        <w:t>La nouvelle équipe a réussi à redresser la situation par une action sur</w:t>
      </w:r>
      <w:r w:rsidR="00491A8B">
        <w:rPr>
          <w:rFonts w:asciiTheme="majorHAnsi" w:hAnsiTheme="majorHAnsi" w:cstheme="majorHAnsi"/>
        </w:rPr>
        <w:t xml:space="preserve"> l</w:t>
      </w:r>
      <w:r w:rsidRPr="001A6AF1">
        <w:t xml:space="preserve">es frais de personnel </w:t>
      </w:r>
      <w:r w:rsidR="00491A8B">
        <w:t>(</w:t>
      </w:r>
      <w:r w:rsidRPr="001A6AF1">
        <w:t>ramenés de près de 60% à 49%</w:t>
      </w:r>
      <w:r w:rsidR="00491A8B">
        <w:t>), l</w:t>
      </w:r>
      <w:r w:rsidRPr="001A6AF1">
        <w:t>a renégociation des prestations de restauration</w:t>
      </w:r>
      <w:r w:rsidR="00491A8B">
        <w:t xml:space="preserve"> et l</w:t>
      </w:r>
      <w:r w:rsidRPr="001A6AF1">
        <w:t>e recouvrement des créances familles.</w:t>
      </w:r>
    </w:p>
    <w:p w14:paraId="569F2146" w14:textId="17BBEB7C"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Les ratios financiers </w:t>
      </w:r>
      <w:r w:rsidR="004C3D2B">
        <w:rPr>
          <w:rFonts w:asciiTheme="majorHAnsi" w:hAnsiTheme="majorHAnsi" w:cstheme="majorHAnsi"/>
        </w:rPr>
        <w:t xml:space="preserve">(taux de </w:t>
      </w:r>
      <w:r w:rsidRPr="001A6AF1">
        <w:rPr>
          <w:rFonts w:asciiTheme="majorHAnsi" w:hAnsiTheme="majorHAnsi" w:cstheme="majorHAnsi"/>
        </w:rPr>
        <w:t xml:space="preserve">CAF et </w:t>
      </w:r>
      <w:r w:rsidR="004C3D2B">
        <w:rPr>
          <w:rFonts w:asciiTheme="majorHAnsi" w:hAnsiTheme="majorHAnsi" w:cstheme="majorHAnsi"/>
        </w:rPr>
        <w:t xml:space="preserve">niveau de </w:t>
      </w:r>
      <w:r w:rsidRPr="001A6AF1">
        <w:rPr>
          <w:rFonts w:asciiTheme="majorHAnsi" w:hAnsiTheme="majorHAnsi" w:cstheme="majorHAnsi"/>
        </w:rPr>
        <w:t>FDR</w:t>
      </w:r>
      <w:r w:rsidR="004C3D2B">
        <w:rPr>
          <w:rFonts w:asciiTheme="majorHAnsi" w:hAnsiTheme="majorHAnsi" w:cstheme="majorHAnsi"/>
        </w:rPr>
        <w:t>)</w:t>
      </w:r>
      <w:r w:rsidRPr="001A6AF1">
        <w:rPr>
          <w:rFonts w:asciiTheme="majorHAnsi" w:hAnsiTheme="majorHAnsi" w:cstheme="majorHAnsi"/>
        </w:rPr>
        <w:t xml:space="preserve"> sont ainsi revenus dans les normes recommandées.</w:t>
      </w:r>
    </w:p>
    <w:p w14:paraId="31CC5D43" w14:textId="01B226C5" w:rsidR="001D7502" w:rsidRPr="001A6AF1" w:rsidRDefault="001D7502" w:rsidP="00DF4292">
      <w:pPr>
        <w:pStyle w:val="Titre1"/>
      </w:pPr>
      <w:r w:rsidRPr="001A6AF1">
        <w:t>Projet</w:t>
      </w:r>
      <w:r w:rsidR="00B14097">
        <w:t> :</w:t>
      </w:r>
    </w:p>
    <w:p w14:paraId="08229D39" w14:textId="7F58DC17"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Plutôt que d’avoir à mener des travaux coûteux et difficiles à réaliser en plein centre-ville, un projet de construction neuve est envisagé en périphérie sur deux sites également, un site regroupant </w:t>
      </w:r>
      <w:r w:rsidR="00A3364F">
        <w:rPr>
          <w:rFonts w:asciiTheme="majorHAnsi" w:hAnsiTheme="majorHAnsi" w:cstheme="majorHAnsi"/>
        </w:rPr>
        <w:t>l’</w:t>
      </w:r>
      <w:r w:rsidRPr="001A6AF1">
        <w:rPr>
          <w:rFonts w:asciiTheme="majorHAnsi" w:hAnsiTheme="majorHAnsi" w:cstheme="majorHAnsi"/>
        </w:rPr>
        <w:t xml:space="preserve">école et </w:t>
      </w:r>
      <w:r w:rsidR="00A3364F">
        <w:rPr>
          <w:rFonts w:asciiTheme="majorHAnsi" w:hAnsiTheme="majorHAnsi" w:cstheme="majorHAnsi"/>
        </w:rPr>
        <w:t xml:space="preserve">le </w:t>
      </w:r>
      <w:r w:rsidRPr="001A6AF1">
        <w:rPr>
          <w:rFonts w:asciiTheme="majorHAnsi" w:hAnsiTheme="majorHAnsi" w:cstheme="majorHAnsi"/>
        </w:rPr>
        <w:t xml:space="preserve">collège, le second le lycée et l’enseignement supérieur. L’immobilier sera porté par l’association propriétaire du diocèse pour respecter le principe de séparation </w:t>
      </w:r>
      <w:r w:rsidR="009E4914">
        <w:rPr>
          <w:rFonts w:asciiTheme="majorHAnsi" w:hAnsiTheme="majorHAnsi" w:cstheme="majorHAnsi"/>
        </w:rPr>
        <w:t>de la propriété et de l</w:t>
      </w:r>
      <w:r w:rsidR="00B27541">
        <w:rPr>
          <w:rFonts w:asciiTheme="majorHAnsi" w:hAnsiTheme="majorHAnsi" w:cstheme="majorHAnsi"/>
        </w:rPr>
        <w:t>’utilisation du bien</w:t>
      </w:r>
      <w:r w:rsidRPr="001A6AF1">
        <w:rPr>
          <w:rFonts w:asciiTheme="majorHAnsi" w:hAnsiTheme="majorHAnsi" w:cstheme="majorHAnsi"/>
        </w:rPr>
        <w:t>, et loué à l’O</w:t>
      </w:r>
      <w:r w:rsidR="006A2DB5">
        <w:rPr>
          <w:rFonts w:asciiTheme="majorHAnsi" w:hAnsiTheme="majorHAnsi" w:cstheme="majorHAnsi"/>
        </w:rPr>
        <w:t>gec</w:t>
      </w:r>
      <w:r w:rsidRPr="001A6AF1">
        <w:rPr>
          <w:rFonts w:asciiTheme="majorHAnsi" w:hAnsiTheme="majorHAnsi" w:cstheme="majorHAnsi"/>
        </w:rPr>
        <w:t>.</w:t>
      </w:r>
    </w:p>
    <w:p w14:paraId="32F64AEE" w14:textId="655BD90B"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Ce dossier est tout à fait correctement dimensionné sur le plan immobilier </w:t>
      </w:r>
      <w:r w:rsidR="00D67233">
        <w:rPr>
          <w:rFonts w:asciiTheme="majorHAnsi" w:hAnsiTheme="majorHAnsi" w:cstheme="majorHAnsi"/>
        </w:rPr>
        <w:t>(</w:t>
      </w:r>
      <w:r w:rsidRPr="001A6AF1">
        <w:rPr>
          <w:rFonts w:asciiTheme="majorHAnsi" w:hAnsiTheme="majorHAnsi" w:cstheme="majorHAnsi"/>
        </w:rPr>
        <w:t>surface et coût</w:t>
      </w:r>
      <w:r w:rsidR="00D67233">
        <w:rPr>
          <w:rFonts w:asciiTheme="majorHAnsi" w:hAnsiTheme="majorHAnsi" w:cstheme="majorHAnsi"/>
        </w:rPr>
        <w:t>)</w:t>
      </w:r>
      <w:r w:rsidRPr="001A6AF1">
        <w:rPr>
          <w:rFonts w:asciiTheme="majorHAnsi" w:hAnsiTheme="majorHAnsi" w:cstheme="majorHAnsi"/>
        </w:rPr>
        <w:t xml:space="preserve">. Il correspond aux souhaits de la </w:t>
      </w:r>
      <w:r w:rsidR="00D67233">
        <w:rPr>
          <w:rFonts w:asciiTheme="majorHAnsi" w:hAnsiTheme="majorHAnsi" w:cstheme="majorHAnsi"/>
        </w:rPr>
        <w:t>t</w:t>
      </w:r>
      <w:r w:rsidRPr="001A6AF1">
        <w:rPr>
          <w:rFonts w:asciiTheme="majorHAnsi" w:hAnsiTheme="majorHAnsi" w:cstheme="majorHAnsi"/>
        </w:rPr>
        <w:t>utelle, moteur du projet, qui souhaite que l’établissement retrouve un niveau d’attractivité important sur le département. Sur le plan financier, les états financiers prévisionnels établis sont cohérents et prudents.</w:t>
      </w:r>
    </w:p>
    <w:p w14:paraId="2DA56148" w14:textId="652D8254" w:rsidR="001D7502" w:rsidRPr="001A6AF1" w:rsidRDefault="001D7502" w:rsidP="00DF4292">
      <w:pPr>
        <w:pStyle w:val="Titre1"/>
      </w:pPr>
      <w:r w:rsidRPr="001A6AF1">
        <w:t>Problématique</w:t>
      </w:r>
      <w:r w:rsidR="00B14097">
        <w:t> :</w:t>
      </w:r>
    </w:p>
    <w:p w14:paraId="3C91D24F" w14:textId="3BF8FF69"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Compte tenu de sa situation financière dégradée ces dernières années, l’O</w:t>
      </w:r>
      <w:r w:rsidR="00B829C8">
        <w:rPr>
          <w:rFonts w:asciiTheme="majorHAnsi" w:hAnsiTheme="majorHAnsi" w:cstheme="majorHAnsi"/>
        </w:rPr>
        <w:t xml:space="preserve">gec </w:t>
      </w:r>
      <w:r w:rsidRPr="001A6AF1">
        <w:rPr>
          <w:rFonts w:asciiTheme="majorHAnsi" w:hAnsiTheme="majorHAnsi" w:cstheme="majorHAnsi"/>
        </w:rPr>
        <w:t>ne dispose pas de la trésorerie lui permettant de réaliser l’apport en fonds propres dans l’opération qui permettrait de la boucler de façon sécurisée (faire en sorte que les remboursements de prêt en capital et intérêts ne dépassent pas 50 à 60% maximum de la CAF). La cession de l’immobilier actuel ne permet pas de résoudre entièrement le problème.</w:t>
      </w:r>
    </w:p>
    <w:p w14:paraId="413E01A8" w14:textId="46E2FAB9" w:rsidR="001D7502" w:rsidRPr="001A6AF1" w:rsidRDefault="001D7502" w:rsidP="00DF4292">
      <w:pPr>
        <w:pStyle w:val="Titre1"/>
      </w:pPr>
      <w:r w:rsidRPr="001A6AF1">
        <w:lastRenderedPageBreak/>
        <w:t>Intérêt de l’étude du crédit-bail immobilier</w:t>
      </w:r>
      <w:r w:rsidR="00B14097">
        <w:t> :</w:t>
      </w:r>
    </w:p>
    <w:p w14:paraId="02D26586" w14:textId="1B4CC909"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 xml:space="preserve">En crédit classique, le dossier n’est pas recevable par un établissement financier. Bien que le projet </w:t>
      </w:r>
      <w:r w:rsidR="00D32786">
        <w:rPr>
          <w:rFonts w:asciiTheme="majorHAnsi" w:hAnsiTheme="majorHAnsi" w:cstheme="majorHAnsi"/>
        </w:rPr>
        <w:t>ait du</w:t>
      </w:r>
      <w:r w:rsidRPr="001A6AF1">
        <w:rPr>
          <w:rFonts w:asciiTheme="majorHAnsi" w:hAnsiTheme="majorHAnsi" w:cstheme="majorHAnsi"/>
        </w:rPr>
        <w:t xml:space="preserve"> sens dans un contexte de regain d’attractivité d’un établissement de bonne taille, ayant retrouvé une bonne santé financière, les premières années de remboursement absorberaient la totalité de la CAF projetée, ce qui n’est pas tenable.</w:t>
      </w:r>
    </w:p>
    <w:p w14:paraId="5C8D70D6" w14:textId="315EB5A0" w:rsidR="001D7502" w:rsidRPr="001A6AF1" w:rsidRDefault="001D7502" w:rsidP="00B14097">
      <w:pPr>
        <w:spacing w:after="120" w:line="276" w:lineRule="auto"/>
        <w:ind w:firstLine="0"/>
        <w:jc w:val="both"/>
        <w:rPr>
          <w:rFonts w:asciiTheme="majorHAnsi" w:hAnsiTheme="majorHAnsi" w:cstheme="majorHAnsi"/>
        </w:rPr>
      </w:pPr>
      <w:r w:rsidRPr="001A6AF1">
        <w:rPr>
          <w:rFonts w:asciiTheme="majorHAnsi" w:hAnsiTheme="majorHAnsi" w:cstheme="majorHAnsi"/>
        </w:rPr>
        <w:t>Montage envisagé avec la banque : mise en place d’un contrat de crédit-bail immobilier avec valeur résiduelle de 30 à 35% du montant de l’opération. Deux solutions so</w:t>
      </w:r>
      <w:r w:rsidR="002279C1">
        <w:rPr>
          <w:rFonts w:asciiTheme="majorHAnsi" w:hAnsiTheme="majorHAnsi" w:cstheme="majorHAnsi"/>
        </w:rPr>
        <w:t>n</w:t>
      </w:r>
      <w:r w:rsidRPr="001A6AF1">
        <w:rPr>
          <w:rFonts w:asciiTheme="majorHAnsi" w:hAnsiTheme="majorHAnsi" w:cstheme="majorHAnsi"/>
        </w:rPr>
        <w:t>t envisageables sur le plan immobilier :</w:t>
      </w:r>
    </w:p>
    <w:p w14:paraId="392EB390" w14:textId="6729B432" w:rsidR="001D7502" w:rsidRPr="001A6AF1" w:rsidRDefault="001D7502" w:rsidP="00AF0906">
      <w:pPr>
        <w:pStyle w:val="Titre3"/>
        <w:spacing w:after="120"/>
        <w:ind w:left="1281" w:hanging="357"/>
      </w:pPr>
      <w:r w:rsidRPr="001A6AF1">
        <w:t>Le crédit-bailleur achète le terrain, finance la construction et a comme contrepartie l’association propriétaire diocésaine, qui elle-même financera l’opération par les loyers versés par l’O</w:t>
      </w:r>
      <w:r w:rsidR="00AF0906">
        <w:t>gec</w:t>
      </w:r>
      <w:r w:rsidRPr="001A6AF1">
        <w:t> ;</w:t>
      </w:r>
    </w:p>
    <w:p w14:paraId="4FAB626B" w14:textId="77777777" w:rsidR="001D7502" w:rsidRPr="001A6AF1" w:rsidRDefault="001D7502" w:rsidP="00AF0906">
      <w:pPr>
        <w:pStyle w:val="Titre3"/>
        <w:spacing w:after="120"/>
        <w:ind w:left="1281" w:hanging="357"/>
      </w:pPr>
      <w:r w:rsidRPr="001A6AF1">
        <w:t>L’association propriétaire achète le terrain et signe un bail à construction avec le crédit-bailleur. Cette solution est plus conforme aux statuts et préconisations de la Directive des Evêques, mais moins sécurisante pour la banque.</w:t>
      </w:r>
    </w:p>
    <w:p w14:paraId="7346EAD4" w14:textId="07763DCC" w:rsidR="001D7502" w:rsidRPr="001A6AF1" w:rsidRDefault="001D7502" w:rsidP="00260937">
      <w:pPr>
        <w:spacing w:after="120" w:line="276" w:lineRule="auto"/>
        <w:ind w:firstLine="0"/>
        <w:jc w:val="both"/>
      </w:pPr>
      <w:r w:rsidRPr="001A6AF1">
        <w:t>Ce montage permet de réaliser l’opération : l’existence d’une valeur résiduelle permet en effet de ne calculer les loyers que sur les 65 à 70% de capital concernés (les intérêts portent bien évidemment sur l’intégralité des sommes décaissées par l’établissement financeur)</w:t>
      </w:r>
      <w:r w:rsidR="00B15C36">
        <w:t>.</w:t>
      </w:r>
    </w:p>
    <w:p w14:paraId="4B0E0143" w14:textId="5C12CEDC" w:rsidR="001D7502" w:rsidRPr="001A6AF1" w:rsidRDefault="001D7502" w:rsidP="00DF4292">
      <w:pPr>
        <w:pStyle w:val="Titre1"/>
      </w:pPr>
      <w:r w:rsidRPr="001A6AF1">
        <w:t>Comparaison entre un financement avec et sans valeur résiduelle à échéance du contrat</w:t>
      </w:r>
      <w:r w:rsidR="00B15C36">
        <w:t> :</w:t>
      </w:r>
    </w:p>
    <w:p w14:paraId="73535389" w14:textId="77777777" w:rsidR="001D7502" w:rsidRPr="001A6AF1" w:rsidRDefault="001D7502" w:rsidP="00260937"/>
    <w:p w14:paraId="5EB893B2" w14:textId="77777777" w:rsidR="001D7502" w:rsidRPr="001A6AF1" w:rsidRDefault="001D7502" w:rsidP="00B97AEF">
      <w:pPr>
        <w:spacing w:after="120" w:line="276" w:lineRule="auto"/>
        <w:ind w:firstLine="0"/>
        <w:jc w:val="both"/>
        <w:rPr>
          <w:rFonts w:asciiTheme="majorHAnsi" w:hAnsiTheme="majorHAnsi" w:cstheme="majorHAnsi"/>
        </w:rPr>
      </w:pPr>
      <w:r w:rsidRPr="001A6AF1">
        <w:rPr>
          <w:rFonts w:asciiTheme="majorHAnsi" w:hAnsiTheme="majorHAnsi" w:cstheme="majorHAnsi"/>
          <w:noProof/>
        </w:rPr>
        <w:drawing>
          <wp:inline distT="0" distB="0" distL="0" distR="0" wp14:anchorId="765CD588" wp14:editId="6278C501">
            <wp:extent cx="6115685" cy="2544161"/>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6573" cy="2557011"/>
                    </a:xfrm>
                    <a:prstGeom prst="rect">
                      <a:avLst/>
                    </a:prstGeom>
                    <a:noFill/>
                  </pic:spPr>
                </pic:pic>
              </a:graphicData>
            </a:graphic>
          </wp:inline>
        </w:drawing>
      </w:r>
    </w:p>
    <w:p w14:paraId="6A070747" w14:textId="77777777" w:rsidR="001D7502" w:rsidRPr="001A6AF1" w:rsidRDefault="001D7502" w:rsidP="007A3EF4">
      <w:pPr>
        <w:spacing w:after="120" w:line="276" w:lineRule="auto"/>
        <w:jc w:val="both"/>
        <w:rPr>
          <w:rFonts w:asciiTheme="majorHAnsi" w:hAnsiTheme="majorHAnsi" w:cstheme="majorHAnsi"/>
          <w:u w:val="single"/>
        </w:rPr>
      </w:pPr>
    </w:p>
    <w:p w14:paraId="2AAF130C" w14:textId="77777777" w:rsidR="001D7502" w:rsidRPr="001A6AF1" w:rsidRDefault="001D7502" w:rsidP="00635C25">
      <w:pPr>
        <w:pStyle w:val="Titre1"/>
      </w:pPr>
      <w:r w:rsidRPr="001A6AF1">
        <w:lastRenderedPageBreak/>
        <w:t>Réserves :</w:t>
      </w:r>
    </w:p>
    <w:p w14:paraId="197A8E8D" w14:textId="00D39A72" w:rsidR="001D7502" w:rsidRPr="00635C25" w:rsidRDefault="001D7502" w:rsidP="00142E1C">
      <w:pPr>
        <w:pStyle w:val="Titre3"/>
        <w:spacing w:after="120"/>
        <w:ind w:left="1281" w:hanging="357"/>
      </w:pPr>
      <w:r w:rsidRPr="00C07E26">
        <w:rPr>
          <w:b/>
        </w:rPr>
        <w:t>Complexité du montage immobilier</w:t>
      </w:r>
      <w:r w:rsidRPr="00635C25">
        <w:t> : si le bail à construction est un acte juridique assez courant dans l’</w:t>
      </w:r>
      <w:r w:rsidR="0010090C">
        <w:t>E</w:t>
      </w:r>
      <w:r w:rsidRPr="00635C25">
        <w:t xml:space="preserve">nseignement catholique, </w:t>
      </w:r>
      <w:r w:rsidR="007279AC">
        <w:t>il</w:t>
      </w:r>
      <w:r w:rsidRPr="00635C25">
        <w:t xml:space="preserve"> est moins sécurisant pour l’établissement financier en </w:t>
      </w:r>
      <w:r w:rsidR="000B2D87">
        <w:t>matière</w:t>
      </w:r>
      <w:r w:rsidRPr="00635C25">
        <w:t xml:space="preserve"> de garantie. Par ailleurs, si l’on n’est pas dans le cadre d’une construction neuve sur un terrain bien identifié, et que l’on souhaite inclure dans l’assiette du crédit-bail des travaux de rénovation sur un autre immeuble d’un même site, par exemple, le montage immobilier devient plus complexe et lourd à gérer dans le temps (division parcellaire du terrain, mise en place éventuelle d’une copropriété avec servitudes, etc.).</w:t>
      </w:r>
    </w:p>
    <w:p w14:paraId="0DBB6CE0" w14:textId="08937475" w:rsidR="001D7502" w:rsidRPr="00635C25" w:rsidRDefault="001D7502" w:rsidP="00142E1C">
      <w:pPr>
        <w:pStyle w:val="Titre3"/>
        <w:spacing w:after="120"/>
        <w:ind w:left="1281" w:hanging="357"/>
      </w:pPr>
      <w:r w:rsidRPr="00635C25">
        <w:t xml:space="preserve">Sur le même plan, le crédit-bailleur étant propriétaire de l’immeuble, il conviendra de lui présenter et demander systématiquement son accord lorsque des </w:t>
      </w:r>
      <w:r w:rsidRPr="00E6436E">
        <w:rPr>
          <w:b/>
        </w:rPr>
        <w:t>travaux</w:t>
      </w:r>
      <w:r w:rsidRPr="00635C25">
        <w:t xml:space="preserve"> seront à réaliser en cours de contrat, ce qui n’est pas le cas en crédit classique. S’il s’agit de travaux lourds (extension de l’immeuble par exemple), le crédit-bailleur n’a pas d’obligation de les financer. Un avenant au contrat initial peut être conclu. Mais l’</w:t>
      </w:r>
      <w:r w:rsidR="007024BA">
        <w:t>a</w:t>
      </w:r>
      <w:r w:rsidRPr="00635C25">
        <w:t xml:space="preserve">ssociation </w:t>
      </w:r>
      <w:r w:rsidR="007024BA">
        <w:t>d</w:t>
      </w:r>
      <w:r w:rsidRPr="00635C25">
        <w:t>iocésaine ou l’O</w:t>
      </w:r>
      <w:r w:rsidR="00EA63D7">
        <w:t xml:space="preserve">gec </w:t>
      </w:r>
      <w:r w:rsidRPr="00635C25">
        <w:t xml:space="preserve">peut </w:t>
      </w:r>
      <w:r w:rsidR="00EA63D7">
        <w:t>s</w:t>
      </w:r>
      <w:r w:rsidRPr="00635C25">
        <w:t>e trouver contraint</w:t>
      </w:r>
      <w:r w:rsidR="003B178E">
        <w:t>(</w:t>
      </w:r>
      <w:r w:rsidRPr="00635C25">
        <w:t>e</w:t>
      </w:r>
      <w:r w:rsidR="003B178E">
        <w:t>)</w:t>
      </w:r>
      <w:r w:rsidRPr="00635C25">
        <w:t xml:space="preserve"> d’aller </w:t>
      </w:r>
      <w:r w:rsidR="00FA27F9">
        <w:t>chercher un financement</w:t>
      </w:r>
      <w:r w:rsidRPr="00635C25">
        <w:t xml:space="preserve"> auprès d’un autre partenaire bancaire, ce qui crée une situation embarrassan</w:t>
      </w:r>
      <w:bookmarkStart w:id="0" w:name="_GoBack"/>
      <w:bookmarkEnd w:id="0"/>
      <w:r w:rsidRPr="00635C25">
        <w:t>te dans la mesure où le second banquier est sollicité pour « améliorer » ou « revaloriser » un bien qui appartient à l’un de ses concurrents…</w:t>
      </w:r>
    </w:p>
    <w:p w14:paraId="6A4C82F2" w14:textId="18AAA9DD" w:rsidR="001D7502" w:rsidRPr="00635C25" w:rsidRDefault="001D7502" w:rsidP="00142E1C">
      <w:pPr>
        <w:pStyle w:val="Titre3"/>
        <w:spacing w:after="120"/>
        <w:ind w:left="1281" w:hanging="357"/>
      </w:pPr>
      <w:r w:rsidRPr="00635C25">
        <w:t xml:space="preserve">Si on opte pour un contrat court avec </w:t>
      </w:r>
      <w:r w:rsidR="006E52AB">
        <w:t xml:space="preserve">une </w:t>
      </w:r>
      <w:r w:rsidRPr="00635C25">
        <w:t>valeur résiduelle pour économiser les frais de public</w:t>
      </w:r>
      <w:r w:rsidR="00CA35C1">
        <w:t>ité</w:t>
      </w:r>
      <w:r w:rsidRPr="00635C25">
        <w:t xml:space="preserve"> (obligatoires seulement si le contrat dure plus de 12 ans), il convient d’avoir à l’esprit qu’il faudra probablement </w:t>
      </w:r>
      <w:r w:rsidRPr="007B142F">
        <w:rPr>
          <w:b/>
        </w:rPr>
        <w:t>renégocier à terme la mise en place d’un nouveau contrat</w:t>
      </w:r>
      <w:r w:rsidRPr="00635C25">
        <w:t xml:space="preserve">. Cela n’est pas une difficulté en soi mais </w:t>
      </w:r>
      <w:r w:rsidRPr="007B142F">
        <w:rPr>
          <w:b/>
        </w:rPr>
        <w:t>aucune garantie sur le niveau de taux à 12 ans ne peut être donnée par qui que ce soit…</w:t>
      </w:r>
    </w:p>
    <w:p w14:paraId="14487940" w14:textId="24BBDED6" w:rsidR="001D7502" w:rsidRDefault="001D7502" w:rsidP="007A3EF4">
      <w:pPr>
        <w:spacing w:after="120" w:line="276" w:lineRule="auto"/>
        <w:jc w:val="both"/>
        <w:rPr>
          <w:rFonts w:asciiTheme="majorHAnsi" w:hAnsiTheme="majorHAnsi" w:cstheme="majorHAnsi"/>
        </w:rPr>
      </w:pPr>
    </w:p>
    <w:p w14:paraId="56607149" w14:textId="276ACAA6" w:rsidR="008B322D" w:rsidRPr="001A6AF1" w:rsidRDefault="008B322D" w:rsidP="008B322D">
      <w:pPr>
        <w:pStyle w:val="Sansinterligne"/>
        <w:jc w:val="center"/>
      </w:pPr>
      <w:r>
        <w:t>Conclusion</w:t>
      </w:r>
    </w:p>
    <w:p w14:paraId="6751AB40" w14:textId="0BF68D4F" w:rsidR="00A000A1" w:rsidRDefault="008761DB" w:rsidP="008761DB">
      <w:pPr>
        <w:pStyle w:val="Titre4"/>
      </w:pPr>
      <w:r>
        <w:rPr>
          <w:caps w:val="0"/>
        </w:rPr>
        <w:t xml:space="preserve">La </w:t>
      </w:r>
      <w:proofErr w:type="spellStart"/>
      <w:r>
        <w:rPr>
          <w:caps w:val="0"/>
        </w:rPr>
        <w:t>Fnogec</w:t>
      </w:r>
      <w:proofErr w:type="spellEnd"/>
      <w:r w:rsidRPr="001A6AF1">
        <w:rPr>
          <w:caps w:val="0"/>
        </w:rPr>
        <w:t xml:space="preserve"> préconis</w:t>
      </w:r>
      <w:r>
        <w:rPr>
          <w:caps w:val="0"/>
        </w:rPr>
        <w:t>e</w:t>
      </w:r>
      <w:r w:rsidR="00A000A1" w:rsidRPr="001A6AF1">
        <w:t xml:space="preserve"> </w:t>
      </w:r>
      <w:r>
        <w:rPr>
          <w:caps w:val="0"/>
        </w:rPr>
        <w:t xml:space="preserve">aux Ogec </w:t>
      </w:r>
      <w:r w:rsidRPr="001A6AF1">
        <w:rPr>
          <w:caps w:val="0"/>
        </w:rPr>
        <w:t xml:space="preserve">de </w:t>
      </w:r>
      <w:r w:rsidRPr="00535CC4">
        <w:rPr>
          <w:caps w:val="0"/>
        </w:rPr>
        <w:t>n’étudier ce produit financier que dans le cadre d’opérations de construction</w:t>
      </w:r>
      <w:r>
        <w:rPr>
          <w:caps w:val="0"/>
        </w:rPr>
        <w:t>s</w:t>
      </w:r>
      <w:r w:rsidRPr="00535CC4">
        <w:rPr>
          <w:caps w:val="0"/>
        </w:rPr>
        <w:t xml:space="preserve"> neuves d’envergure exceptionnelle</w:t>
      </w:r>
      <w:r w:rsidR="00A000A1" w:rsidRPr="001A6AF1">
        <w:t xml:space="preserve">. </w:t>
      </w:r>
    </w:p>
    <w:sectPr w:rsidR="00A000A1" w:rsidSect="004F0484">
      <w:headerReference w:type="even" r:id="rId15"/>
      <w:headerReference w:type="default" r:id="rId16"/>
      <w:footerReference w:type="even" r:id="rId17"/>
      <w:footerReference w:type="default" r:id="rId18"/>
      <w:headerReference w:type="first" r:id="rId19"/>
      <w:pgSz w:w="11900" w:h="16840"/>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5D88A" w14:textId="77777777" w:rsidR="00BF6D90" w:rsidRDefault="00BF6D90" w:rsidP="009B68BC">
      <w:r>
        <w:separator/>
      </w:r>
    </w:p>
  </w:endnote>
  <w:endnote w:type="continuationSeparator" w:id="0">
    <w:p w14:paraId="7BC7904E" w14:textId="77777777" w:rsidR="00BF6D90" w:rsidRDefault="00BF6D90" w:rsidP="009B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F2547" w14:textId="5933F1B7" w:rsidR="007435C7" w:rsidRPr="00C501F7" w:rsidRDefault="007435C7" w:rsidP="006F1710">
    <w:pPr>
      <w:pStyle w:val="Pieddepage"/>
      <w:framePr w:wrap="around" w:vAnchor="text" w:hAnchor="margin" w:xAlign="inside" w:y="1"/>
      <w:rPr>
        <w:rStyle w:val="Numrodepage"/>
        <w:color w:val="00B6DD"/>
        <w:sz w:val="16"/>
        <w:szCs w:val="16"/>
      </w:rPr>
    </w:pPr>
    <w:r w:rsidRPr="00C501F7">
      <w:rPr>
        <w:rStyle w:val="Numrodepage"/>
        <w:color w:val="00B6DD"/>
        <w:sz w:val="16"/>
        <w:szCs w:val="16"/>
      </w:rPr>
      <w:fldChar w:fldCharType="begin"/>
    </w:r>
    <w:r w:rsidRPr="00C501F7">
      <w:rPr>
        <w:rStyle w:val="Numrodepage"/>
        <w:color w:val="00B6DD"/>
        <w:sz w:val="16"/>
        <w:szCs w:val="16"/>
      </w:rPr>
      <w:instrText xml:space="preserve">PAGE  </w:instrText>
    </w:r>
    <w:r w:rsidRPr="00C501F7">
      <w:rPr>
        <w:rStyle w:val="Numrodepage"/>
        <w:color w:val="00B6DD"/>
        <w:sz w:val="16"/>
        <w:szCs w:val="16"/>
      </w:rPr>
      <w:fldChar w:fldCharType="separate"/>
    </w:r>
    <w:r w:rsidR="00E855C3">
      <w:rPr>
        <w:rStyle w:val="Numrodepage"/>
        <w:noProof/>
        <w:color w:val="00B6DD"/>
        <w:sz w:val="16"/>
        <w:szCs w:val="16"/>
      </w:rPr>
      <w:t>2</w:t>
    </w:r>
    <w:r w:rsidRPr="00C501F7">
      <w:rPr>
        <w:rStyle w:val="Numrodepage"/>
        <w:color w:val="00B6DD"/>
        <w:sz w:val="16"/>
        <w:szCs w:val="16"/>
      </w:rPr>
      <w:fldChar w:fldCharType="end"/>
    </w:r>
  </w:p>
  <w:p w14:paraId="7BC4DCE5" w14:textId="5BC155A4" w:rsidR="007435C7" w:rsidRPr="00C501F7" w:rsidRDefault="007435C7" w:rsidP="00851692">
    <w:pPr>
      <w:pStyle w:val="Pieddepage"/>
      <w:ind w:right="360" w:firstLine="360"/>
      <w:rPr>
        <w:color w:val="00B6DD"/>
        <w:sz w:val="16"/>
        <w:szCs w:val="16"/>
      </w:rPr>
    </w:pPr>
    <w:r w:rsidRPr="00C501F7">
      <w:rPr>
        <w:noProof/>
        <w:color w:val="00B6DD"/>
        <w:sz w:val="16"/>
        <w:szCs w:val="16"/>
      </w:rPr>
      <mc:AlternateContent>
        <mc:Choice Requires="wps">
          <w:drawing>
            <wp:anchor distT="0" distB="0" distL="114300" distR="114300" simplePos="0" relativeHeight="251658240" behindDoc="0" locked="0" layoutInCell="1" allowOverlap="1" wp14:anchorId="71B0E7FE" wp14:editId="5CF4A0C2">
              <wp:simplePos x="0" y="0"/>
              <wp:positionH relativeFrom="column">
                <wp:posOffset>-685800</wp:posOffset>
              </wp:positionH>
              <wp:positionV relativeFrom="paragraph">
                <wp:posOffset>-76200</wp:posOffset>
              </wp:positionV>
              <wp:extent cx="7200900" cy="0"/>
              <wp:effectExtent l="0" t="0" r="12700" b="25400"/>
              <wp:wrapNone/>
              <wp:docPr id="18" name="Connecteur droit 18"/>
              <wp:cNvGraphicFramePr/>
              <a:graphic xmlns:a="http://schemas.openxmlformats.org/drawingml/2006/main">
                <a:graphicData uri="http://schemas.microsoft.com/office/word/2010/wordprocessingShape">
                  <wps:wsp>
                    <wps:cNvCnPr/>
                    <wps:spPr>
                      <a:xfrm>
                        <a:off x="0" y="0"/>
                        <a:ext cx="7200900" cy="0"/>
                      </a:xfrm>
                      <a:prstGeom prst="line">
                        <a:avLst/>
                      </a:prstGeom>
                      <a:ln w="3175" cmpd="sng">
                        <a:solidFill>
                          <a:srgbClr val="00A8C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4A788A9" id="Connecteur droit 1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6pt" to="5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" strokecolor="#00a8c1" strokeweight=".25pt"/>
          </w:pict>
        </mc:Fallback>
      </mc:AlternateContent>
    </w:r>
    <w:r w:rsidR="00BC639A">
      <w:rPr>
        <w:color w:val="00B6DD"/>
        <w:sz w:val="16"/>
        <w:szCs w:val="16"/>
      </w:rPr>
      <w:t xml:space="preserve">Version du </w:t>
    </w:r>
    <w:r w:rsidR="004F21BF">
      <w:rPr>
        <w:color w:val="00B6DD"/>
        <w:sz w:val="16"/>
        <w:szCs w:val="16"/>
      </w:rPr>
      <w:t>14 décembre</w:t>
    </w:r>
    <w:r w:rsidR="00BC639A">
      <w:rPr>
        <w:color w:val="00B6DD"/>
        <w:sz w:val="16"/>
        <w:szCs w:val="16"/>
      </w:rPr>
      <w:t xml:space="preserve">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7F74" w14:textId="4C3F21D6" w:rsidR="007435C7" w:rsidRPr="00C501F7" w:rsidRDefault="007435C7" w:rsidP="00B6470E">
    <w:pPr>
      <w:pStyle w:val="Pieddepage"/>
      <w:framePr w:wrap="around" w:vAnchor="text" w:hAnchor="margin" w:xAlign="inside" w:y="1"/>
      <w:rPr>
        <w:rStyle w:val="Numrodepage"/>
        <w:color w:val="00B6DD"/>
        <w:sz w:val="16"/>
        <w:szCs w:val="16"/>
      </w:rPr>
    </w:pPr>
    <w:r w:rsidRPr="00C501F7">
      <w:rPr>
        <w:rStyle w:val="Numrodepage"/>
        <w:color w:val="00B6DD"/>
        <w:sz w:val="16"/>
        <w:szCs w:val="16"/>
      </w:rPr>
      <w:fldChar w:fldCharType="begin"/>
    </w:r>
    <w:r w:rsidRPr="00C501F7">
      <w:rPr>
        <w:rStyle w:val="Numrodepage"/>
        <w:color w:val="00B6DD"/>
        <w:sz w:val="16"/>
        <w:szCs w:val="16"/>
      </w:rPr>
      <w:instrText xml:space="preserve">PAGE  </w:instrText>
    </w:r>
    <w:r w:rsidRPr="00C501F7">
      <w:rPr>
        <w:rStyle w:val="Numrodepage"/>
        <w:color w:val="00B6DD"/>
        <w:sz w:val="16"/>
        <w:szCs w:val="16"/>
      </w:rPr>
      <w:fldChar w:fldCharType="separate"/>
    </w:r>
    <w:r w:rsidR="006D6EB7">
      <w:rPr>
        <w:rStyle w:val="Numrodepage"/>
        <w:noProof/>
        <w:color w:val="00B6DD"/>
        <w:sz w:val="16"/>
        <w:szCs w:val="16"/>
      </w:rPr>
      <w:t>3</w:t>
    </w:r>
    <w:r w:rsidRPr="00C501F7">
      <w:rPr>
        <w:rStyle w:val="Numrodepage"/>
        <w:color w:val="00B6DD"/>
        <w:sz w:val="16"/>
        <w:szCs w:val="16"/>
      </w:rPr>
      <w:fldChar w:fldCharType="end"/>
    </w:r>
  </w:p>
  <w:p w14:paraId="5C52A329" w14:textId="1848737B" w:rsidR="007435C7" w:rsidRPr="00C501F7" w:rsidRDefault="007435C7" w:rsidP="000B3FBC">
    <w:pPr>
      <w:ind w:right="360" w:firstLine="360"/>
      <w:jc w:val="right"/>
      <w:rPr>
        <w:color w:val="00B6DD"/>
        <w:sz w:val="16"/>
        <w:szCs w:val="16"/>
      </w:rPr>
    </w:pPr>
    <w:r w:rsidRPr="00C501F7">
      <w:rPr>
        <w:noProof/>
        <w:color w:val="00B6DD"/>
        <w:sz w:val="16"/>
        <w:szCs w:val="16"/>
      </w:rPr>
      <mc:AlternateContent>
        <mc:Choice Requires="wps">
          <w:drawing>
            <wp:anchor distT="0" distB="0" distL="114300" distR="114300" simplePos="0" relativeHeight="251666432" behindDoc="0" locked="0" layoutInCell="1" allowOverlap="1" wp14:anchorId="03BF34EC" wp14:editId="1D50D665">
              <wp:simplePos x="0" y="0"/>
              <wp:positionH relativeFrom="column">
                <wp:posOffset>-685800</wp:posOffset>
              </wp:positionH>
              <wp:positionV relativeFrom="paragraph">
                <wp:posOffset>-76200</wp:posOffset>
              </wp:positionV>
              <wp:extent cx="7200900" cy="0"/>
              <wp:effectExtent l="0" t="0" r="12700" b="25400"/>
              <wp:wrapNone/>
              <wp:docPr id="19" name="Connecteur droit 19"/>
              <wp:cNvGraphicFramePr/>
              <a:graphic xmlns:a="http://schemas.openxmlformats.org/drawingml/2006/main">
                <a:graphicData uri="http://schemas.microsoft.com/office/word/2010/wordprocessingShape">
                  <wps:wsp>
                    <wps:cNvCnPr/>
                    <wps:spPr>
                      <a:xfrm>
                        <a:off x="0" y="0"/>
                        <a:ext cx="7200900" cy="0"/>
                      </a:xfrm>
                      <a:prstGeom prst="line">
                        <a:avLst/>
                      </a:prstGeom>
                      <a:ln w="3175" cmpd="sng">
                        <a:solidFill>
                          <a:srgbClr val="00A8C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49A0720" id="Connecteur droit 1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6pt" to="5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" strokecolor="#00a8c1" strokeweight=".25pt"/>
          </w:pict>
        </mc:Fallback>
      </mc:AlternateContent>
    </w:r>
    <w:r w:rsidR="00BC639A">
      <w:rPr>
        <w:color w:val="00B6DD"/>
        <w:sz w:val="16"/>
        <w:szCs w:val="16"/>
      </w:rPr>
      <w:t xml:space="preserve">Version du </w:t>
    </w:r>
    <w:r w:rsidR="004F21BF">
      <w:rPr>
        <w:color w:val="00B6DD"/>
        <w:sz w:val="16"/>
        <w:szCs w:val="16"/>
      </w:rPr>
      <w:t>14 décembre</w:t>
    </w:r>
    <w:r w:rsidR="00BC639A">
      <w:rPr>
        <w:color w:val="00B6DD"/>
        <w:sz w:val="16"/>
        <w:szCs w:val="16"/>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2B615" w14:textId="77777777" w:rsidR="00BF6D90" w:rsidRDefault="00BF6D90" w:rsidP="009B68BC">
      <w:r>
        <w:separator/>
      </w:r>
    </w:p>
  </w:footnote>
  <w:footnote w:type="continuationSeparator" w:id="0">
    <w:p w14:paraId="37B4194D" w14:textId="77777777" w:rsidR="00BF6D90" w:rsidRDefault="00BF6D90" w:rsidP="009B68BC">
      <w:r>
        <w:continuationSeparator/>
      </w:r>
    </w:p>
  </w:footnote>
  <w:footnote w:id="1">
    <w:p w14:paraId="33512BE0" w14:textId="77777777" w:rsidR="00B03C8F" w:rsidRDefault="00B03C8F" w:rsidP="00B03C8F">
      <w:pPr>
        <w:pStyle w:val="Notedebasdepage"/>
      </w:pPr>
      <w:r>
        <w:rPr>
          <w:rStyle w:val="Appelnotedebasdep"/>
        </w:rPr>
        <w:footnoteRef/>
      </w:r>
      <w:r>
        <w:t xml:space="preserve"> </w:t>
      </w:r>
      <w:r w:rsidRPr="00B03C8F">
        <w:rPr>
          <w:rFonts w:asciiTheme="majorHAnsi" w:hAnsiTheme="majorHAnsi" w:cstheme="majorHAnsi"/>
        </w:rPr>
        <w:t>CEAS : Conseil Economique des Affaires Scolaires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AEC0" w14:textId="7700BF0A" w:rsidR="007435C7" w:rsidRDefault="007435C7" w:rsidP="005902FC">
    <w:pPr>
      <w:pStyle w:val="En-tte"/>
      <w:ind w:firstLine="0"/>
    </w:pPr>
    <w:r>
      <w:rPr>
        <w:noProof/>
      </w:rPr>
      <mc:AlternateContent>
        <mc:Choice Requires="wps">
          <w:drawing>
            <wp:anchor distT="0" distB="0" distL="114300" distR="114300" simplePos="0" relativeHeight="251661312" behindDoc="0" locked="0" layoutInCell="1" allowOverlap="1" wp14:anchorId="72ADE83A" wp14:editId="106B294F">
              <wp:simplePos x="0" y="0"/>
              <wp:positionH relativeFrom="column">
                <wp:posOffset>1715770</wp:posOffset>
              </wp:positionH>
              <wp:positionV relativeFrom="paragraph">
                <wp:posOffset>-348615</wp:posOffset>
              </wp:positionV>
              <wp:extent cx="5029200" cy="723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029200" cy="723900"/>
                      </a:xfrm>
                      <a:prstGeom prst="rect">
                        <a:avLst/>
                      </a:prstGeom>
                      <a:solidFill>
                        <a:srgbClr val="00A8C0"/>
                      </a:solidFill>
                      <a:effectLst/>
                    </wps:spPr>
                    <wps:style>
                      <a:lnRef idx="1">
                        <a:schemeClr val="accent1"/>
                      </a:lnRef>
                      <a:fillRef idx="3">
                        <a:schemeClr val="accent1"/>
                      </a:fillRef>
                      <a:effectRef idx="2">
                        <a:schemeClr val="accent1"/>
                      </a:effectRef>
                      <a:fontRef idx="minor">
                        <a:schemeClr val="lt1"/>
                      </a:fontRef>
                    </wps:style>
                    <wps:txbx>
                      <w:txbxContent>
                        <w:p w14:paraId="34FBE2FB" w14:textId="48CD7D08" w:rsidR="007435C7" w:rsidRPr="004C66B9" w:rsidRDefault="004C66B9" w:rsidP="00C61427">
                          <w:pPr>
                            <w:pStyle w:val="Sansinterligne"/>
                            <w:rPr>
                              <w:sz w:val="28"/>
                            </w:rPr>
                          </w:pPr>
                          <w:r w:rsidRPr="004C66B9">
                            <w:rPr>
                              <w:sz w:val="28"/>
                            </w:rPr>
                            <w:t>Le recours au credit-bail immobilier dans l’enseignement catholique</w:t>
                          </w:r>
                        </w:p>
                      </w:txbxContent>
                    </wps:txbx>
                    <wps:bodyPr rot="0" spcFirstLastPara="0" vertOverflow="overflow" horzOverflow="overflow" vert="horz" wrap="square" lIns="576000" tIns="0" rIns="91440" bIns="82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DE83A" id="Rectangle 16" o:spid="_x0000_s1029" style="position:absolute;margin-left:135.1pt;margin-top:-27.45pt;width:396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" fillcolor="#00a8c0" strokecolor="#4579b8 [3044]">
              <v:textbox inset="16mm,0,,2.3mm">
                <w:txbxContent>
                  <w:p w14:paraId="34FBE2FB" w14:textId="48CD7D08" w:rsidR="007435C7" w:rsidRPr="004C66B9" w:rsidRDefault="004C66B9" w:rsidP="00C61427">
                    <w:pPr>
                      <w:pStyle w:val="Sansinterligne"/>
                      <w:rPr>
                        <w:sz w:val="28"/>
                      </w:rPr>
                    </w:pPr>
                    <w:r w:rsidRPr="004C66B9">
                      <w:rPr>
                        <w:sz w:val="28"/>
                      </w:rPr>
                      <w:t>Le recours au credit-bail immobilier dans l’enseignement catholique</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C2FC752" wp14:editId="11C7CA2B">
              <wp:simplePos x="0" y="0"/>
              <wp:positionH relativeFrom="page">
                <wp:posOffset>904240</wp:posOffset>
              </wp:positionH>
              <wp:positionV relativeFrom="page">
                <wp:posOffset>373380</wp:posOffset>
              </wp:positionV>
              <wp:extent cx="400050" cy="286385"/>
              <wp:effectExtent l="2540" t="5080" r="381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638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C59B363" w14:textId="279AB7D0" w:rsidR="007435C7" w:rsidRDefault="007435C7">
                          <w:pPr>
                            <w:snapToGrid w:val="0"/>
                            <w:rPr>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E855C3" w:rsidRPr="00E855C3">
                            <w:rPr>
                              <w:b/>
                              <w:noProof/>
                              <w:color w:val="FFFFFF" w:themeColor="background1"/>
                            </w:rPr>
                            <w:t>2</w:t>
                          </w:r>
                          <w:r>
                            <w:rPr>
                              <w:b/>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FC752" id="_x0000_t202" coordsize="21600,21600" o:spt="202" path="m,l,21600r21600,l21600,xe">
              <v:stroke joinstyle="miter"/>
              <v:path gradientshapeok="t" o:connecttype="rect"/>
            </v:shapetype>
            <v:shape id="Text Box 15" o:spid="_x0000_s1030" type="#_x0000_t202" style="position:absolute;margin-left:71.2pt;margin-top:29.4pt;width:31.5pt;height:2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" filled="f" stroked="f">
              <v:textbox>
                <w:txbxContent>
                  <w:p w14:paraId="4C59B363" w14:textId="279AB7D0" w:rsidR="007435C7" w:rsidRDefault="007435C7">
                    <w:pPr>
                      <w:snapToGrid w:val="0"/>
                      <w:rPr>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E855C3" w:rsidRPr="00E855C3">
                      <w:rPr>
                        <w:b/>
                        <w:noProof/>
                        <w:color w:val="FFFFFF" w:themeColor="background1"/>
                      </w:rPr>
                      <w:t>2</w:t>
                    </w:r>
                    <w:r>
                      <w:rPr>
                        <w:b/>
                        <w:noProof/>
                        <w:color w:val="FFFFFF" w:themeColor="background1"/>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7558" w14:textId="55369F7F" w:rsidR="007435C7" w:rsidRPr="00EC2433" w:rsidRDefault="007435C7" w:rsidP="00EC2433">
    <w:pPr>
      <w:pStyle w:val="En-tte"/>
    </w:pPr>
    <w:r>
      <w:rPr>
        <w:noProof/>
      </w:rPr>
      <mc:AlternateContent>
        <mc:Choice Requires="wps">
          <w:drawing>
            <wp:anchor distT="0" distB="0" distL="114300" distR="114300" simplePos="0" relativeHeight="251663360" behindDoc="0" locked="0" layoutInCell="1" allowOverlap="1" wp14:anchorId="2B91AB1F" wp14:editId="4B5F478F">
              <wp:simplePos x="0" y="0"/>
              <wp:positionH relativeFrom="column">
                <wp:posOffset>-913130</wp:posOffset>
              </wp:positionH>
              <wp:positionV relativeFrom="paragraph">
                <wp:posOffset>-348615</wp:posOffset>
              </wp:positionV>
              <wp:extent cx="5029200" cy="698500"/>
              <wp:effectExtent l="0" t="0" r="0" b="6350"/>
              <wp:wrapNone/>
              <wp:docPr id="17" name="Rectangle 17"/>
              <wp:cNvGraphicFramePr/>
              <a:graphic xmlns:a="http://schemas.openxmlformats.org/drawingml/2006/main">
                <a:graphicData uri="http://schemas.microsoft.com/office/word/2010/wordprocessingShape">
                  <wps:wsp>
                    <wps:cNvSpPr/>
                    <wps:spPr>
                      <a:xfrm>
                        <a:off x="0" y="0"/>
                        <a:ext cx="5029200" cy="698500"/>
                      </a:xfrm>
                      <a:prstGeom prst="rect">
                        <a:avLst/>
                      </a:prstGeom>
                      <a:solidFill>
                        <a:srgbClr val="00A8C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CA1E7E" w14:textId="77777777" w:rsidR="004F0484" w:rsidRPr="004C66B9" w:rsidRDefault="004F0484" w:rsidP="004F0484">
                          <w:pPr>
                            <w:pStyle w:val="Sansinterligne"/>
                            <w:jc w:val="right"/>
                            <w:rPr>
                              <w:sz w:val="28"/>
                            </w:rPr>
                          </w:pPr>
                          <w:r w:rsidRPr="004C66B9">
                            <w:rPr>
                              <w:sz w:val="28"/>
                            </w:rPr>
                            <w:t>Le recours au credit-bail immobilier dans l’enseignement catholique</w:t>
                          </w:r>
                        </w:p>
                        <w:p w14:paraId="268EF415" w14:textId="61DBBC4A" w:rsidR="007435C7" w:rsidRDefault="007435C7" w:rsidP="008538C3">
                          <w:pPr>
                            <w:pStyle w:val="Sansinterligne"/>
                            <w:jc w:val="right"/>
                          </w:pPr>
                        </w:p>
                      </w:txbxContent>
                    </wps:txbx>
                    <wps:bodyPr rot="0" spcFirstLastPara="0" vertOverflow="overflow" horzOverflow="overflow" vert="horz" wrap="square" lIns="108000" tIns="0" rIns="252000" bIns="82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1AB1F" id="Rectangle 17" o:spid="_x0000_s1031" style="position:absolute;left:0;text-align:left;margin-left:-71.9pt;margin-top:-27.45pt;width:396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" fillcolor="#00a8c0" stroked="f">
              <v:textbox inset="3mm,0,7mm,2.3mm">
                <w:txbxContent>
                  <w:p w14:paraId="2FCA1E7E" w14:textId="77777777" w:rsidR="004F0484" w:rsidRPr="004C66B9" w:rsidRDefault="004F0484" w:rsidP="004F0484">
                    <w:pPr>
                      <w:pStyle w:val="Sansinterligne"/>
                      <w:jc w:val="right"/>
                      <w:rPr>
                        <w:sz w:val="28"/>
                      </w:rPr>
                    </w:pPr>
                    <w:r w:rsidRPr="004C66B9">
                      <w:rPr>
                        <w:sz w:val="28"/>
                      </w:rPr>
                      <w:t>Le recours au credit-bail immobilier dans l’enseignement catholique</w:t>
                    </w:r>
                  </w:p>
                  <w:p w14:paraId="268EF415" w14:textId="61DBBC4A" w:rsidR="007435C7" w:rsidRDefault="007435C7" w:rsidP="008538C3">
                    <w:pPr>
                      <w:pStyle w:val="Sansinterligne"/>
                      <w:jc w:val="right"/>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FF848" w14:textId="1E4A9503" w:rsidR="007435C7" w:rsidRDefault="007435C7" w:rsidP="005902FC">
    <w:pPr>
      <w:pStyle w:val="En-tt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090C"/>
    <w:multiLevelType w:val="singleLevel"/>
    <w:tmpl w:val="66508F82"/>
    <w:lvl w:ilvl="0">
      <w:numFmt w:val="none"/>
      <w:lvlText w:val=""/>
      <w:lvlJc w:val="left"/>
      <w:pPr>
        <w:tabs>
          <w:tab w:val="num" w:pos="360"/>
        </w:tabs>
      </w:pPr>
    </w:lvl>
  </w:abstractNum>
  <w:abstractNum w:abstractNumId="1" w15:restartNumberingAfterBreak="0">
    <w:nsid w:val="03284DA8"/>
    <w:multiLevelType w:val="hybridMultilevel"/>
    <w:tmpl w:val="37ECCB82"/>
    <w:lvl w:ilvl="0" w:tplc="22EAF2AA">
      <w:start w:val="1"/>
      <w:numFmt w:val="bullet"/>
      <w:pStyle w:val="Titre3"/>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A9D6D4B"/>
    <w:multiLevelType w:val="hybridMultilevel"/>
    <w:tmpl w:val="3D6A75E2"/>
    <w:lvl w:ilvl="0" w:tplc="040C000F">
      <w:start w:val="1"/>
      <w:numFmt w:val="decimal"/>
      <w:lvlText w:val="%1."/>
      <w:lvlJc w:val="left"/>
      <w:pPr>
        <w:ind w:left="720" w:hanging="360"/>
      </w:pPr>
    </w:lvl>
    <w:lvl w:ilvl="1" w:tplc="F8EAEDCC">
      <w:start w:val="1"/>
      <w:numFmt w:val="bullet"/>
      <w:pStyle w:val="Titre1"/>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C769EB"/>
    <w:multiLevelType w:val="hybridMultilevel"/>
    <w:tmpl w:val="5ABA1CE6"/>
    <w:lvl w:ilvl="0" w:tplc="040C0013">
      <w:start w:val="1"/>
      <w:numFmt w:val="upperRoman"/>
      <w:lvlText w:val="%1."/>
      <w:lvlJc w:val="righ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15:restartNumberingAfterBreak="0">
    <w:nsid w:val="34961251"/>
    <w:multiLevelType w:val="hybridMultilevel"/>
    <w:tmpl w:val="A7BA0D94"/>
    <w:lvl w:ilvl="0" w:tplc="A394EBD4">
      <w:start w:val="1"/>
      <w:numFmt w:val="bullet"/>
      <w:lvlText w:val=""/>
      <w:lvlJc w:val="left"/>
      <w:pPr>
        <w:ind w:left="360" w:hanging="360"/>
      </w:pPr>
      <w:rPr>
        <w:rFonts w:ascii="Wingdings" w:eastAsia="Times New Roman"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3889245F"/>
    <w:multiLevelType w:val="multilevel"/>
    <w:tmpl w:val="862CAF5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C004B3"/>
    <w:multiLevelType w:val="hybridMultilevel"/>
    <w:tmpl w:val="0F1AD4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B03BF9"/>
    <w:multiLevelType w:val="hybridMultilevel"/>
    <w:tmpl w:val="DEC609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DE20A9"/>
    <w:multiLevelType w:val="hybridMultilevel"/>
    <w:tmpl w:val="968E379E"/>
    <w:lvl w:ilvl="0" w:tplc="354C2B46">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126EFC"/>
    <w:multiLevelType w:val="hybridMultilevel"/>
    <w:tmpl w:val="039026D2"/>
    <w:lvl w:ilvl="0" w:tplc="B6243B50">
      <w:start w:val="1"/>
      <w:numFmt w:val="upperRoman"/>
      <w:pStyle w:val="Paragraphedeliste"/>
      <w:lvlText w:val="%1."/>
      <w:lvlJc w:val="righ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15:restartNumberingAfterBreak="0">
    <w:nsid w:val="61D86EFE"/>
    <w:multiLevelType w:val="hybridMultilevel"/>
    <w:tmpl w:val="78221308"/>
    <w:lvl w:ilvl="0" w:tplc="F838FD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CB1F5E"/>
    <w:multiLevelType w:val="multilevel"/>
    <w:tmpl w:val="2FFAF5C2"/>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722D7B"/>
    <w:multiLevelType w:val="hybridMultilevel"/>
    <w:tmpl w:val="EA4C14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180BD6"/>
    <w:multiLevelType w:val="hybridMultilevel"/>
    <w:tmpl w:val="55B8DD1C"/>
    <w:lvl w:ilvl="0" w:tplc="0D024F76">
      <w:start w:val="1"/>
      <w:numFmt w:val="upperRoman"/>
      <w:lvlText w:val="%1."/>
      <w:lvlJc w:val="righ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4" w15:restartNumberingAfterBreak="0">
    <w:nsid w:val="6FEA41B4"/>
    <w:multiLevelType w:val="hybridMultilevel"/>
    <w:tmpl w:val="FE860838"/>
    <w:lvl w:ilvl="0" w:tplc="040C0013">
      <w:start w:val="1"/>
      <w:numFmt w:val="upperRoman"/>
      <w:lvlText w:val="%1."/>
      <w:lvlJc w:val="righ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5" w15:restartNumberingAfterBreak="0">
    <w:nsid w:val="73FD77D5"/>
    <w:multiLevelType w:val="hybridMultilevel"/>
    <w:tmpl w:val="F6269B8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9">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11"/>
  </w:num>
  <w:num w:numId="5">
    <w:abstractNumId w:val="15"/>
  </w:num>
  <w:num w:numId="6">
    <w:abstractNumId w:val="2"/>
  </w:num>
  <w:num w:numId="7">
    <w:abstractNumId w:val="5"/>
  </w:num>
  <w:num w:numId="8">
    <w:abstractNumId w:val="0"/>
  </w:num>
  <w:num w:numId="9">
    <w:abstractNumId w:val="10"/>
  </w:num>
  <w:num w:numId="10">
    <w:abstractNumId w:val="12"/>
  </w:num>
  <w:num w:numId="11">
    <w:abstractNumId w:val="6"/>
  </w:num>
  <w:num w:numId="12">
    <w:abstractNumId w:val="7"/>
  </w:num>
  <w:num w:numId="13">
    <w:abstractNumId w:val="14"/>
  </w:num>
  <w:num w:numId="14">
    <w:abstractNumId w:val="3"/>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B0"/>
    <w:rsid w:val="00023EAA"/>
    <w:rsid w:val="000261A6"/>
    <w:rsid w:val="00031868"/>
    <w:rsid w:val="00033C5C"/>
    <w:rsid w:val="00034A16"/>
    <w:rsid w:val="00052891"/>
    <w:rsid w:val="000543F3"/>
    <w:rsid w:val="00071DA8"/>
    <w:rsid w:val="00083B9B"/>
    <w:rsid w:val="00090B0B"/>
    <w:rsid w:val="000A6A3A"/>
    <w:rsid w:val="000B2D87"/>
    <w:rsid w:val="000B3FBC"/>
    <w:rsid w:val="000B6246"/>
    <w:rsid w:val="000C230E"/>
    <w:rsid w:val="000D37E0"/>
    <w:rsid w:val="000D5C28"/>
    <w:rsid w:val="000F6B27"/>
    <w:rsid w:val="0010090C"/>
    <w:rsid w:val="00103D4D"/>
    <w:rsid w:val="00112F7F"/>
    <w:rsid w:val="00115EF3"/>
    <w:rsid w:val="00117486"/>
    <w:rsid w:val="00124877"/>
    <w:rsid w:val="00142CFA"/>
    <w:rsid w:val="00142D24"/>
    <w:rsid w:val="00142E1C"/>
    <w:rsid w:val="00143D72"/>
    <w:rsid w:val="0015213B"/>
    <w:rsid w:val="00156FE4"/>
    <w:rsid w:val="0016073B"/>
    <w:rsid w:val="001665FB"/>
    <w:rsid w:val="001706F1"/>
    <w:rsid w:val="0017088F"/>
    <w:rsid w:val="001A6AF1"/>
    <w:rsid w:val="001B0236"/>
    <w:rsid w:val="001C1411"/>
    <w:rsid w:val="001C1F8B"/>
    <w:rsid w:val="001D13C9"/>
    <w:rsid w:val="001D5A28"/>
    <w:rsid w:val="001D7502"/>
    <w:rsid w:val="00202C4B"/>
    <w:rsid w:val="002113D8"/>
    <w:rsid w:val="00217FB5"/>
    <w:rsid w:val="00224DD9"/>
    <w:rsid w:val="00226C8A"/>
    <w:rsid w:val="00226D3F"/>
    <w:rsid w:val="002279C1"/>
    <w:rsid w:val="002379FD"/>
    <w:rsid w:val="00260937"/>
    <w:rsid w:val="00262550"/>
    <w:rsid w:val="00270709"/>
    <w:rsid w:val="002720B3"/>
    <w:rsid w:val="0029366D"/>
    <w:rsid w:val="002970B0"/>
    <w:rsid w:val="002A515E"/>
    <w:rsid w:val="002B6AE0"/>
    <w:rsid w:val="002C70D3"/>
    <w:rsid w:val="002D371D"/>
    <w:rsid w:val="002E5432"/>
    <w:rsid w:val="002F2C9C"/>
    <w:rsid w:val="002F3B6F"/>
    <w:rsid w:val="003012FB"/>
    <w:rsid w:val="0030471D"/>
    <w:rsid w:val="00304AC1"/>
    <w:rsid w:val="00307281"/>
    <w:rsid w:val="003339C7"/>
    <w:rsid w:val="00335385"/>
    <w:rsid w:val="003522CE"/>
    <w:rsid w:val="00366879"/>
    <w:rsid w:val="00372ED2"/>
    <w:rsid w:val="003B178E"/>
    <w:rsid w:val="003B3733"/>
    <w:rsid w:val="003B7E0E"/>
    <w:rsid w:val="003D3893"/>
    <w:rsid w:val="003E3637"/>
    <w:rsid w:val="003F36B8"/>
    <w:rsid w:val="003F7C25"/>
    <w:rsid w:val="0040162C"/>
    <w:rsid w:val="00403704"/>
    <w:rsid w:val="00413AA3"/>
    <w:rsid w:val="0041505D"/>
    <w:rsid w:val="004222CC"/>
    <w:rsid w:val="00483307"/>
    <w:rsid w:val="00491A8B"/>
    <w:rsid w:val="00491F98"/>
    <w:rsid w:val="00493E46"/>
    <w:rsid w:val="004A6D1E"/>
    <w:rsid w:val="004B3AFF"/>
    <w:rsid w:val="004B6043"/>
    <w:rsid w:val="004B7AEE"/>
    <w:rsid w:val="004C3D2B"/>
    <w:rsid w:val="004C66B9"/>
    <w:rsid w:val="004F0484"/>
    <w:rsid w:val="004F21BF"/>
    <w:rsid w:val="004F548B"/>
    <w:rsid w:val="00500662"/>
    <w:rsid w:val="00504F5B"/>
    <w:rsid w:val="005118F1"/>
    <w:rsid w:val="00512CCB"/>
    <w:rsid w:val="00535CC4"/>
    <w:rsid w:val="0056270D"/>
    <w:rsid w:val="00583079"/>
    <w:rsid w:val="00585F61"/>
    <w:rsid w:val="005902FC"/>
    <w:rsid w:val="005A2A10"/>
    <w:rsid w:val="005B3D2C"/>
    <w:rsid w:val="005C7971"/>
    <w:rsid w:val="005E3D88"/>
    <w:rsid w:val="005F015B"/>
    <w:rsid w:val="00610B64"/>
    <w:rsid w:val="006121AE"/>
    <w:rsid w:val="006243AB"/>
    <w:rsid w:val="00635C25"/>
    <w:rsid w:val="006360C2"/>
    <w:rsid w:val="00641157"/>
    <w:rsid w:val="00653EFE"/>
    <w:rsid w:val="006861A0"/>
    <w:rsid w:val="00687EC2"/>
    <w:rsid w:val="00693CBE"/>
    <w:rsid w:val="006A2DB5"/>
    <w:rsid w:val="006C3384"/>
    <w:rsid w:val="006C5A5D"/>
    <w:rsid w:val="006D44B5"/>
    <w:rsid w:val="006D4D00"/>
    <w:rsid w:val="006D6EB7"/>
    <w:rsid w:val="006E52AB"/>
    <w:rsid w:val="006F1710"/>
    <w:rsid w:val="006F244B"/>
    <w:rsid w:val="006F5072"/>
    <w:rsid w:val="007024BA"/>
    <w:rsid w:val="007206E3"/>
    <w:rsid w:val="00724559"/>
    <w:rsid w:val="007272D2"/>
    <w:rsid w:val="007279AC"/>
    <w:rsid w:val="00727A1B"/>
    <w:rsid w:val="00741369"/>
    <w:rsid w:val="0074255D"/>
    <w:rsid w:val="007435C7"/>
    <w:rsid w:val="00750B4E"/>
    <w:rsid w:val="00756A17"/>
    <w:rsid w:val="00761960"/>
    <w:rsid w:val="007640C9"/>
    <w:rsid w:val="00782DFF"/>
    <w:rsid w:val="00785C81"/>
    <w:rsid w:val="00791161"/>
    <w:rsid w:val="007951D0"/>
    <w:rsid w:val="007A15E1"/>
    <w:rsid w:val="007A3EF4"/>
    <w:rsid w:val="007B142F"/>
    <w:rsid w:val="007C7EC7"/>
    <w:rsid w:val="0080793D"/>
    <w:rsid w:val="008117F9"/>
    <w:rsid w:val="00851692"/>
    <w:rsid w:val="008538C3"/>
    <w:rsid w:val="008546F7"/>
    <w:rsid w:val="00874C63"/>
    <w:rsid w:val="008761DB"/>
    <w:rsid w:val="00891A78"/>
    <w:rsid w:val="00892AF9"/>
    <w:rsid w:val="008B1319"/>
    <w:rsid w:val="008B322D"/>
    <w:rsid w:val="008C677D"/>
    <w:rsid w:val="008C7BA4"/>
    <w:rsid w:val="008D3D87"/>
    <w:rsid w:val="00943428"/>
    <w:rsid w:val="009457BF"/>
    <w:rsid w:val="00995795"/>
    <w:rsid w:val="009957D2"/>
    <w:rsid w:val="009B3C31"/>
    <w:rsid w:val="009B68BC"/>
    <w:rsid w:val="009C0EFC"/>
    <w:rsid w:val="009E4914"/>
    <w:rsid w:val="009F0AD7"/>
    <w:rsid w:val="00A000A1"/>
    <w:rsid w:val="00A070B8"/>
    <w:rsid w:val="00A12F8E"/>
    <w:rsid w:val="00A20356"/>
    <w:rsid w:val="00A23D77"/>
    <w:rsid w:val="00A3364F"/>
    <w:rsid w:val="00A44EEB"/>
    <w:rsid w:val="00A567F2"/>
    <w:rsid w:val="00A56E14"/>
    <w:rsid w:val="00A9743A"/>
    <w:rsid w:val="00AC6AC9"/>
    <w:rsid w:val="00AC6EA7"/>
    <w:rsid w:val="00AD3D04"/>
    <w:rsid w:val="00AE203C"/>
    <w:rsid w:val="00AE6CBC"/>
    <w:rsid w:val="00AF0906"/>
    <w:rsid w:val="00AF2303"/>
    <w:rsid w:val="00B03C8F"/>
    <w:rsid w:val="00B14097"/>
    <w:rsid w:val="00B15C36"/>
    <w:rsid w:val="00B22346"/>
    <w:rsid w:val="00B24056"/>
    <w:rsid w:val="00B27541"/>
    <w:rsid w:val="00B35389"/>
    <w:rsid w:val="00B6470E"/>
    <w:rsid w:val="00B669D6"/>
    <w:rsid w:val="00B829C8"/>
    <w:rsid w:val="00B85C41"/>
    <w:rsid w:val="00B87D93"/>
    <w:rsid w:val="00B90B4C"/>
    <w:rsid w:val="00B95BEB"/>
    <w:rsid w:val="00B96EF8"/>
    <w:rsid w:val="00B97AEF"/>
    <w:rsid w:val="00BC4E6D"/>
    <w:rsid w:val="00BC639A"/>
    <w:rsid w:val="00BE0DED"/>
    <w:rsid w:val="00BE6462"/>
    <w:rsid w:val="00BF4587"/>
    <w:rsid w:val="00BF6D90"/>
    <w:rsid w:val="00C07E26"/>
    <w:rsid w:val="00C12401"/>
    <w:rsid w:val="00C41B75"/>
    <w:rsid w:val="00C4569C"/>
    <w:rsid w:val="00C501F7"/>
    <w:rsid w:val="00C54AE2"/>
    <w:rsid w:val="00C54DD5"/>
    <w:rsid w:val="00C61427"/>
    <w:rsid w:val="00C72612"/>
    <w:rsid w:val="00C75388"/>
    <w:rsid w:val="00CA35C1"/>
    <w:rsid w:val="00CB3B5E"/>
    <w:rsid w:val="00CC32D5"/>
    <w:rsid w:val="00CE63F2"/>
    <w:rsid w:val="00CE7B5D"/>
    <w:rsid w:val="00CF5280"/>
    <w:rsid w:val="00D00195"/>
    <w:rsid w:val="00D10785"/>
    <w:rsid w:val="00D2625E"/>
    <w:rsid w:val="00D32786"/>
    <w:rsid w:val="00D34345"/>
    <w:rsid w:val="00D51085"/>
    <w:rsid w:val="00D60146"/>
    <w:rsid w:val="00D67233"/>
    <w:rsid w:val="00D77A66"/>
    <w:rsid w:val="00D809D7"/>
    <w:rsid w:val="00D85845"/>
    <w:rsid w:val="00D86F8E"/>
    <w:rsid w:val="00DA3CD4"/>
    <w:rsid w:val="00DB099A"/>
    <w:rsid w:val="00DD3807"/>
    <w:rsid w:val="00DE15FD"/>
    <w:rsid w:val="00DE4C83"/>
    <w:rsid w:val="00DE6505"/>
    <w:rsid w:val="00DF109A"/>
    <w:rsid w:val="00DF3ABD"/>
    <w:rsid w:val="00DF4292"/>
    <w:rsid w:val="00E06E87"/>
    <w:rsid w:val="00E07AEA"/>
    <w:rsid w:val="00E1133D"/>
    <w:rsid w:val="00E133D8"/>
    <w:rsid w:val="00E20DE5"/>
    <w:rsid w:val="00E22125"/>
    <w:rsid w:val="00E23037"/>
    <w:rsid w:val="00E32002"/>
    <w:rsid w:val="00E32878"/>
    <w:rsid w:val="00E33108"/>
    <w:rsid w:val="00E53CF5"/>
    <w:rsid w:val="00E6436E"/>
    <w:rsid w:val="00E64C44"/>
    <w:rsid w:val="00E7238C"/>
    <w:rsid w:val="00E84031"/>
    <w:rsid w:val="00E855C3"/>
    <w:rsid w:val="00E93280"/>
    <w:rsid w:val="00E958A9"/>
    <w:rsid w:val="00EA41EF"/>
    <w:rsid w:val="00EA5DA2"/>
    <w:rsid w:val="00EA63D7"/>
    <w:rsid w:val="00EB3496"/>
    <w:rsid w:val="00EC2433"/>
    <w:rsid w:val="00ED3D85"/>
    <w:rsid w:val="00EE69DF"/>
    <w:rsid w:val="00EF789D"/>
    <w:rsid w:val="00F00A98"/>
    <w:rsid w:val="00F250B6"/>
    <w:rsid w:val="00F26A34"/>
    <w:rsid w:val="00F26F9F"/>
    <w:rsid w:val="00F349C8"/>
    <w:rsid w:val="00F37900"/>
    <w:rsid w:val="00F4428C"/>
    <w:rsid w:val="00F502E7"/>
    <w:rsid w:val="00F50921"/>
    <w:rsid w:val="00F7413D"/>
    <w:rsid w:val="00F77CD2"/>
    <w:rsid w:val="00F95B6E"/>
    <w:rsid w:val="00FA27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E4B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e Standard"/>
    <w:qFormat/>
    <w:rsid w:val="00142D24"/>
    <w:pPr>
      <w:ind w:firstLine="284"/>
    </w:pPr>
    <w:rPr>
      <w:rFonts w:ascii="Calibri" w:hAnsi="Calibri"/>
    </w:rPr>
  </w:style>
  <w:style w:type="paragraph" w:styleId="Titre1">
    <w:name w:val="heading 1"/>
    <w:aliases w:val="Titre 01 Bleu"/>
    <w:basedOn w:val="Normal"/>
    <w:next w:val="Normal"/>
    <w:link w:val="Titre1Car"/>
    <w:autoRedefine/>
    <w:uiPriority w:val="9"/>
    <w:qFormat/>
    <w:rsid w:val="00DF4292"/>
    <w:pPr>
      <w:keepNext/>
      <w:keepLines/>
      <w:numPr>
        <w:ilvl w:val="1"/>
        <w:numId w:val="6"/>
      </w:numPr>
      <w:spacing w:before="240" w:after="120"/>
      <w:ind w:left="357" w:hanging="357"/>
      <w:outlineLvl w:val="0"/>
    </w:pPr>
    <w:rPr>
      <w:rFonts w:eastAsiaTheme="majorEastAsia" w:cstheme="majorBidi"/>
      <w:caps/>
      <w:color w:val="00AAC3"/>
      <w:spacing w:val="20"/>
      <w:sz w:val="28"/>
    </w:rPr>
  </w:style>
  <w:style w:type="paragraph" w:styleId="Titre2">
    <w:name w:val="heading 2"/>
    <w:aliases w:val="Titre 02"/>
    <w:basedOn w:val="Normal"/>
    <w:next w:val="Normal"/>
    <w:link w:val="Titre2Car"/>
    <w:uiPriority w:val="9"/>
    <w:unhideWhenUsed/>
    <w:qFormat/>
    <w:rsid w:val="00F50921"/>
    <w:pPr>
      <w:keepNext/>
      <w:keepLines/>
      <w:spacing w:before="200" w:after="100"/>
      <w:ind w:left="567"/>
      <w:contextualSpacing/>
      <w:outlineLvl w:val="1"/>
    </w:pPr>
    <w:rPr>
      <w:rFonts w:asciiTheme="majorHAnsi" w:eastAsiaTheme="majorEastAsia" w:hAnsiTheme="majorHAnsi" w:cstheme="majorBidi"/>
      <w:caps/>
      <w:color w:val="000000" w:themeColor="text1"/>
      <w:sz w:val="26"/>
      <w:szCs w:val="26"/>
    </w:rPr>
  </w:style>
  <w:style w:type="paragraph" w:styleId="Titre3">
    <w:name w:val="heading 3"/>
    <w:aliases w:val="Alinéas"/>
    <w:basedOn w:val="Normal"/>
    <w:next w:val="Normal"/>
    <w:link w:val="Titre3Car"/>
    <w:uiPriority w:val="9"/>
    <w:unhideWhenUsed/>
    <w:qFormat/>
    <w:rsid w:val="00E7238C"/>
    <w:pPr>
      <w:keepNext/>
      <w:keepLines/>
      <w:numPr>
        <w:numId w:val="1"/>
      </w:numPr>
      <w:outlineLvl w:val="2"/>
    </w:pPr>
    <w:rPr>
      <w:rFonts w:eastAsiaTheme="majorEastAsia" w:cstheme="majorBidi"/>
      <w:bCs/>
      <w:color w:val="000000" w:themeColor="text1"/>
    </w:rPr>
  </w:style>
  <w:style w:type="paragraph" w:styleId="Titre4">
    <w:name w:val="heading 4"/>
    <w:aliases w:val="Titre Encadré"/>
    <w:basedOn w:val="Normal"/>
    <w:next w:val="Normal"/>
    <w:link w:val="Titre4Car"/>
    <w:autoRedefine/>
    <w:uiPriority w:val="9"/>
    <w:unhideWhenUsed/>
    <w:qFormat/>
    <w:rsid w:val="00142D24"/>
    <w:pPr>
      <w:keepNext/>
      <w:keepLines/>
      <w:pBdr>
        <w:top w:val="single" w:sz="48" w:space="1" w:color="92CDDC" w:themeColor="accent5" w:themeTint="99"/>
        <w:left w:val="single" w:sz="48" w:space="1" w:color="92CDDC" w:themeColor="accent5" w:themeTint="99"/>
        <w:bottom w:val="single" w:sz="48" w:space="1" w:color="92CDDC" w:themeColor="accent5" w:themeTint="99"/>
        <w:right w:val="single" w:sz="48" w:space="1" w:color="92CDDC" w:themeColor="accent5" w:themeTint="99"/>
      </w:pBdr>
      <w:spacing w:before="200" w:after="200"/>
      <w:jc w:val="center"/>
      <w:outlineLvl w:val="3"/>
    </w:pPr>
    <w:rPr>
      <w:rFonts w:asciiTheme="majorHAnsi" w:eastAsiaTheme="majorEastAsia" w:hAnsiTheme="majorHAnsi" w:cstheme="majorBidi"/>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Titre 01"/>
    <w:basedOn w:val="Normal"/>
    <w:next w:val="Normal"/>
    <w:link w:val="SansinterligneCar"/>
    <w:qFormat/>
    <w:rsid w:val="00B95BEB"/>
    <w:pPr>
      <w:spacing w:before="240" w:after="160"/>
      <w:ind w:left="-567" w:firstLine="0"/>
      <w:contextualSpacing/>
    </w:pPr>
    <w:rPr>
      <w:rFonts w:asciiTheme="majorHAnsi" w:hAnsiTheme="majorHAnsi"/>
      <w:b/>
      <w:bCs/>
      <w:caps/>
      <w:spacing w:val="20"/>
      <w:sz w:val="32"/>
      <w:szCs w:val="32"/>
      <w14:numSpacing w14:val="proportional"/>
    </w:rPr>
  </w:style>
  <w:style w:type="character" w:customStyle="1" w:styleId="Titre1Car">
    <w:name w:val="Titre 1 Car"/>
    <w:aliases w:val="Titre 01 Bleu Car"/>
    <w:basedOn w:val="Policepardfaut"/>
    <w:link w:val="Titre1"/>
    <w:uiPriority w:val="9"/>
    <w:rsid w:val="00DF4292"/>
    <w:rPr>
      <w:rFonts w:ascii="Calibri" w:eastAsiaTheme="majorEastAsia" w:hAnsi="Calibri" w:cstheme="majorBidi"/>
      <w:caps/>
      <w:color w:val="00AAC3"/>
      <w:spacing w:val="20"/>
      <w:sz w:val="28"/>
    </w:rPr>
  </w:style>
  <w:style w:type="character" w:customStyle="1" w:styleId="Titre2Car">
    <w:name w:val="Titre 2 Car"/>
    <w:aliases w:val="Titre 02 Car"/>
    <w:basedOn w:val="Policepardfaut"/>
    <w:link w:val="Titre2"/>
    <w:uiPriority w:val="9"/>
    <w:rsid w:val="00F50921"/>
    <w:rPr>
      <w:rFonts w:asciiTheme="majorHAnsi" w:eastAsiaTheme="majorEastAsia" w:hAnsiTheme="majorHAnsi" w:cstheme="majorBidi"/>
      <w:caps/>
      <w:color w:val="000000" w:themeColor="text1"/>
      <w:sz w:val="26"/>
      <w:szCs w:val="26"/>
    </w:rPr>
  </w:style>
  <w:style w:type="character" w:customStyle="1" w:styleId="Titre3Car">
    <w:name w:val="Titre 3 Car"/>
    <w:aliases w:val="Alinéas Car"/>
    <w:basedOn w:val="Policepardfaut"/>
    <w:link w:val="Titre3"/>
    <w:uiPriority w:val="9"/>
    <w:rsid w:val="00E7238C"/>
    <w:rPr>
      <w:rFonts w:ascii="Calibri" w:eastAsiaTheme="majorEastAsia" w:hAnsi="Calibri" w:cstheme="majorBidi"/>
      <w:bCs/>
      <w:color w:val="000000" w:themeColor="text1"/>
    </w:rPr>
  </w:style>
  <w:style w:type="character" w:customStyle="1" w:styleId="Titre4Car">
    <w:name w:val="Titre 4 Car"/>
    <w:aliases w:val="Titre Encadré Car"/>
    <w:basedOn w:val="Policepardfaut"/>
    <w:link w:val="Titre4"/>
    <w:uiPriority w:val="9"/>
    <w:rsid w:val="00142D24"/>
    <w:rPr>
      <w:rFonts w:asciiTheme="majorHAnsi" w:eastAsiaTheme="majorEastAsia" w:hAnsiTheme="majorHAnsi" w:cstheme="majorBidi"/>
      <w:caps/>
    </w:rPr>
  </w:style>
  <w:style w:type="character" w:customStyle="1" w:styleId="SansinterligneCar">
    <w:name w:val="Sans interligne Car"/>
    <w:aliases w:val="Titre 01 Car"/>
    <w:basedOn w:val="Policepardfaut"/>
    <w:link w:val="Sansinterligne"/>
    <w:rsid w:val="00B95BEB"/>
    <w:rPr>
      <w:rFonts w:asciiTheme="majorHAnsi" w:hAnsiTheme="majorHAnsi"/>
      <w:b/>
      <w:bCs/>
      <w:caps/>
      <w:spacing w:val="20"/>
      <w:sz w:val="32"/>
      <w:szCs w:val="32"/>
      <w14:numSpacing w14:val="proportional"/>
    </w:rPr>
  </w:style>
  <w:style w:type="paragraph" w:styleId="En-tte">
    <w:name w:val="header"/>
    <w:basedOn w:val="Normal"/>
    <w:link w:val="En-tteCar"/>
    <w:uiPriority w:val="99"/>
    <w:unhideWhenUsed/>
    <w:rsid w:val="009B68BC"/>
    <w:pPr>
      <w:tabs>
        <w:tab w:val="center" w:pos="4536"/>
        <w:tab w:val="right" w:pos="9072"/>
      </w:tabs>
    </w:pPr>
  </w:style>
  <w:style w:type="character" w:customStyle="1" w:styleId="En-tteCar">
    <w:name w:val="En-tête Car"/>
    <w:basedOn w:val="Policepardfaut"/>
    <w:link w:val="En-tte"/>
    <w:uiPriority w:val="99"/>
    <w:rsid w:val="009B68BC"/>
    <w:rPr>
      <w:rFonts w:ascii="Calibri" w:hAnsi="Calibri"/>
    </w:rPr>
  </w:style>
  <w:style w:type="paragraph" w:styleId="Pieddepage">
    <w:name w:val="footer"/>
    <w:basedOn w:val="Normal"/>
    <w:link w:val="PieddepageCar"/>
    <w:uiPriority w:val="99"/>
    <w:unhideWhenUsed/>
    <w:rsid w:val="009B68BC"/>
    <w:pPr>
      <w:tabs>
        <w:tab w:val="center" w:pos="4536"/>
        <w:tab w:val="right" w:pos="9072"/>
      </w:tabs>
    </w:pPr>
  </w:style>
  <w:style w:type="character" w:customStyle="1" w:styleId="PieddepageCar">
    <w:name w:val="Pied de page Car"/>
    <w:basedOn w:val="Policepardfaut"/>
    <w:link w:val="Pieddepage"/>
    <w:uiPriority w:val="99"/>
    <w:rsid w:val="009B68BC"/>
    <w:rPr>
      <w:rFonts w:ascii="Calibri" w:hAnsi="Calibri"/>
    </w:rPr>
  </w:style>
  <w:style w:type="table" w:styleId="Trameclaire-Accent1">
    <w:name w:val="Light Shading Accent 1"/>
    <w:basedOn w:val="TableauNormal"/>
    <w:uiPriority w:val="60"/>
    <w:rsid w:val="009B68BC"/>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rodepage">
    <w:name w:val="page number"/>
    <w:basedOn w:val="Policepardfaut"/>
    <w:uiPriority w:val="99"/>
    <w:semiHidden/>
    <w:unhideWhenUsed/>
    <w:rsid w:val="009B68BC"/>
  </w:style>
  <w:style w:type="paragraph" w:styleId="Textedebulles">
    <w:name w:val="Balloon Text"/>
    <w:basedOn w:val="Normal"/>
    <w:link w:val="TextedebullesCar"/>
    <w:uiPriority w:val="99"/>
    <w:semiHidden/>
    <w:unhideWhenUsed/>
    <w:rsid w:val="00B6470E"/>
    <w:rPr>
      <w:rFonts w:ascii="Lucida Grande" w:hAnsi="Lucida Grande" w:cs="Lucida Grande"/>
      <w:sz w:val="18"/>
      <w:szCs w:val="18"/>
    </w:rPr>
  </w:style>
  <w:style w:type="paragraph" w:styleId="TM5">
    <w:name w:val="toc 5"/>
    <w:basedOn w:val="Normal"/>
    <w:next w:val="Normal"/>
    <w:autoRedefine/>
    <w:uiPriority w:val="39"/>
    <w:semiHidden/>
    <w:unhideWhenUsed/>
    <w:rsid w:val="00B6470E"/>
    <w:pPr>
      <w:spacing w:after="100"/>
      <w:ind w:left="960"/>
    </w:pPr>
  </w:style>
  <w:style w:type="character" w:customStyle="1" w:styleId="TextedebullesCar">
    <w:name w:val="Texte de bulles Car"/>
    <w:basedOn w:val="Policepardfaut"/>
    <w:link w:val="Textedebulles"/>
    <w:uiPriority w:val="99"/>
    <w:semiHidden/>
    <w:rsid w:val="00B6470E"/>
    <w:rPr>
      <w:rFonts w:ascii="Lucida Grande" w:hAnsi="Lucida Grande" w:cs="Lucida Grande"/>
      <w:sz w:val="18"/>
      <w:szCs w:val="18"/>
    </w:rPr>
  </w:style>
  <w:style w:type="paragraph" w:styleId="Paragraphedeliste">
    <w:name w:val="List Paragraph"/>
    <w:aliases w:val="Texte G encadré"/>
    <w:basedOn w:val="Normal"/>
    <w:next w:val="Normal"/>
    <w:autoRedefine/>
    <w:uiPriority w:val="34"/>
    <w:qFormat/>
    <w:rsid w:val="00785C81"/>
    <w:pPr>
      <w:numPr>
        <w:numId w:val="16"/>
      </w:numPr>
      <w:pBdr>
        <w:top w:val="single" w:sz="48" w:space="4" w:color="92CDDC"/>
        <w:left w:val="single" w:sz="48" w:space="4" w:color="92CDDC"/>
        <w:bottom w:val="single" w:sz="48" w:space="4" w:color="92CDDC"/>
        <w:right w:val="single" w:sz="48" w:space="4" w:color="92CDDC"/>
      </w:pBdr>
      <w:spacing w:before="120"/>
      <w:contextualSpacing/>
    </w:pPr>
    <w:rPr>
      <w:rFonts w:asciiTheme="majorHAnsi" w:eastAsia="Calibri" w:hAnsiTheme="majorHAnsi" w:cstheme="majorHAnsi"/>
      <w:sz w:val="28"/>
      <w:szCs w:val="28"/>
      <w:lang w:eastAsia="en-US"/>
    </w:rPr>
  </w:style>
  <w:style w:type="paragraph" w:styleId="NormalWeb">
    <w:name w:val="Normal (Web)"/>
    <w:basedOn w:val="Normal"/>
    <w:uiPriority w:val="99"/>
    <w:unhideWhenUsed/>
    <w:rsid w:val="006C3384"/>
    <w:pPr>
      <w:spacing w:before="100" w:beforeAutospacing="1" w:after="100" w:afterAutospacing="1"/>
      <w:ind w:firstLine="0"/>
    </w:pPr>
    <w:rPr>
      <w:rFonts w:ascii="Times New Roman" w:eastAsia="Times New Roman" w:hAnsi="Times New Roman" w:cs="Times New Roman"/>
    </w:rPr>
  </w:style>
  <w:style w:type="table" w:styleId="Grilledutableau">
    <w:name w:val="Table Grid"/>
    <w:basedOn w:val="TableauNormal"/>
    <w:uiPriority w:val="99"/>
    <w:rsid w:val="006C33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C3384"/>
    <w:rPr>
      <w:color w:val="0000FF" w:themeColor="hyperlink"/>
      <w:u w:val="single"/>
    </w:rPr>
  </w:style>
  <w:style w:type="character" w:styleId="Titredulivre">
    <w:name w:val="Book Title"/>
    <w:basedOn w:val="Policepardfaut"/>
    <w:uiPriority w:val="33"/>
    <w:rsid w:val="00103D4D"/>
    <w:rPr>
      <w:b/>
      <w:bCs/>
      <w:smallCaps/>
      <w:spacing w:val="5"/>
    </w:rPr>
  </w:style>
  <w:style w:type="paragraph" w:styleId="Sous-titre">
    <w:name w:val="Subtitle"/>
    <w:basedOn w:val="Normal"/>
    <w:next w:val="Normal"/>
    <w:link w:val="Sous-titreCar"/>
    <w:uiPriority w:val="11"/>
    <w:rsid w:val="00EF789D"/>
    <w:pPr>
      <w:numPr>
        <w:ilvl w:val="1"/>
      </w:numPr>
      <w:ind w:firstLine="284"/>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EF789D"/>
    <w:rPr>
      <w:rFonts w:asciiTheme="majorHAnsi" w:eastAsiaTheme="majorEastAsia" w:hAnsiTheme="majorHAnsi" w:cstheme="majorBidi"/>
      <w:i/>
      <w:iCs/>
      <w:color w:val="4F81BD" w:themeColor="accent1"/>
      <w:spacing w:val="15"/>
    </w:rPr>
  </w:style>
  <w:style w:type="paragraph" w:customStyle="1" w:styleId="Style1">
    <w:name w:val="Style 1"/>
    <w:basedOn w:val="Normal"/>
    <w:uiPriority w:val="99"/>
    <w:rsid w:val="00D85845"/>
    <w:pPr>
      <w:widowControl w:val="0"/>
      <w:autoSpaceDE w:val="0"/>
      <w:autoSpaceDN w:val="0"/>
      <w:adjustRightInd w:val="0"/>
      <w:ind w:firstLine="0"/>
    </w:pPr>
    <w:rPr>
      <w:rFonts w:ascii="Times New Roman" w:hAnsi="Times New Roman" w:cs="Times New Roman"/>
      <w:sz w:val="20"/>
      <w:szCs w:val="20"/>
    </w:rPr>
  </w:style>
  <w:style w:type="character" w:customStyle="1" w:styleId="CharacterStyle2">
    <w:name w:val="Character Style 2"/>
    <w:uiPriority w:val="99"/>
    <w:rsid w:val="00D85845"/>
    <w:rPr>
      <w:sz w:val="20"/>
      <w:szCs w:val="20"/>
    </w:rPr>
  </w:style>
  <w:style w:type="paragraph" w:styleId="Notedebasdepage">
    <w:name w:val="footnote text"/>
    <w:basedOn w:val="Normal"/>
    <w:link w:val="NotedebasdepageCar"/>
    <w:uiPriority w:val="99"/>
    <w:semiHidden/>
    <w:unhideWhenUsed/>
    <w:rsid w:val="00B03C8F"/>
    <w:pPr>
      <w:ind w:firstLine="0"/>
    </w:pPr>
    <w:rPr>
      <w:rFonts w:asciiTheme="minorHAnsi" w:eastAsiaTheme="minorHAnsi" w:hAnsiTheme="minorHAnsi"/>
      <w:sz w:val="20"/>
      <w:szCs w:val="20"/>
      <w:lang w:eastAsia="en-US"/>
    </w:rPr>
  </w:style>
  <w:style w:type="character" w:customStyle="1" w:styleId="NotedebasdepageCar">
    <w:name w:val="Note de bas de page Car"/>
    <w:basedOn w:val="Policepardfaut"/>
    <w:link w:val="Notedebasdepage"/>
    <w:uiPriority w:val="99"/>
    <w:semiHidden/>
    <w:rsid w:val="00B03C8F"/>
    <w:rPr>
      <w:rFonts w:eastAsiaTheme="minorHAnsi"/>
      <w:sz w:val="20"/>
      <w:szCs w:val="20"/>
      <w:lang w:eastAsia="en-US"/>
    </w:rPr>
  </w:style>
  <w:style w:type="character" w:styleId="Appelnotedebasdep">
    <w:name w:val="footnote reference"/>
    <w:basedOn w:val="Policepardfaut"/>
    <w:uiPriority w:val="99"/>
    <w:semiHidden/>
    <w:unhideWhenUsed/>
    <w:rsid w:val="00B03C8F"/>
    <w:rPr>
      <w:vertAlign w:val="superscript"/>
    </w:rPr>
  </w:style>
  <w:style w:type="character" w:styleId="Mentionnonrsolue">
    <w:name w:val="Unresolved Mention"/>
    <w:basedOn w:val="Policepardfaut"/>
    <w:uiPriority w:val="99"/>
    <w:semiHidden/>
    <w:unhideWhenUsed/>
    <w:rsid w:val="00170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630233">
      <w:bodyDiv w:val="1"/>
      <w:marLeft w:val="0"/>
      <w:marRight w:val="0"/>
      <w:marTop w:val="0"/>
      <w:marBottom w:val="0"/>
      <w:divBdr>
        <w:top w:val="none" w:sz="0" w:space="0" w:color="auto"/>
        <w:left w:val="none" w:sz="0" w:space="0" w:color="auto"/>
        <w:bottom w:val="none" w:sz="0" w:space="0" w:color="auto"/>
        <w:right w:val="none" w:sz="0" w:space="0" w:color="auto"/>
      </w:divBdr>
    </w:div>
    <w:div w:id="601717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nogec.org/immobilier/fiscalite-immobiliere/la-taxe-damenagemen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A8C0">
            <a:alpha val="20000"/>
          </a:srgbClr>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5">
            <a:shade val="50000"/>
          </a:schemeClr>
        </a:lnRef>
        <a:fillRef idx="1">
          <a:schemeClr val="accent5"/>
        </a:fillRef>
        <a:effectRef idx="0">
          <a:schemeClr val="accent5"/>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9329B86C5E4C438C39F86B9E8E73C4" ma:contentTypeVersion="8" ma:contentTypeDescription="Crée un document." ma:contentTypeScope="" ma:versionID="03ec2cdd6497d487f4e9fc2b62ba5f35">
  <xsd:schema xmlns:xsd="http://www.w3.org/2001/XMLSchema" xmlns:xs="http://www.w3.org/2001/XMLSchema" xmlns:p="http://schemas.microsoft.com/office/2006/metadata/properties" xmlns:ns2="09dfb64a-0223-49ce-8cb7-6aa0f8b96d40" xmlns:ns3="163da0d5-6dfe-4c06-a388-cc35b9912f24" targetNamespace="http://schemas.microsoft.com/office/2006/metadata/properties" ma:root="true" ma:fieldsID="70d35207d96d43046eaa2a4ab89326af" ns2:_="" ns3:_="">
    <xsd:import namespace="09dfb64a-0223-49ce-8cb7-6aa0f8b96d40"/>
    <xsd:import namespace="163da0d5-6dfe-4c06-a388-cc35b9912f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b64a-0223-49ce-8cb7-6aa0f8b96d40"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3da0d5-6dfe-4c06-a388-cc35b9912f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9dfb64a-0223-49ce-8cb7-6aa0f8b96d4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A898A-3BDF-437C-8543-2CE9881EE134}">
  <ds:schemaRefs>
    <ds:schemaRef ds:uri="http://schemas.microsoft.com/sharepoint/v3/contenttype/forms"/>
  </ds:schemaRefs>
</ds:datastoreItem>
</file>

<file path=customXml/itemProps2.xml><?xml version="1.0" encoding="utf-8"?>
<ds:datastoreItem xmlns:ds="http://schemas.openxmlformats.org/officeDocument/2006/customXml" ds:itemID="{582F0EB9-B574-46AE-8C4B-0A1CC58E2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b64a-0223-49ce-8cb7-6aa0f8b96d40"/>
    <ds:schemaRef ds:uri="163da0d5-6dfe-4c06-a388-cc35b9912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54426F-604A-443F-A91A-172AA0039E85}">
  <ds:schemaRefs>
    <ds:schemaRef ds:uri="http://schemas.microsoft.com/office/2006/metadata/properties"/>
    <ds:schemaRef ds:uri="http://schemas.microsoft.com/office/infopath/2007/PartnerControls"/>
    <ds:schemaRef ds:uri="09dfb64a-0223-49ce-8cb7-6aa0f8b96d40"/>
  </ds:schemaRefs>
</ds:datastoreItem>
</file>

<file path=customXml/itemProps4.xml><?xml version="1.0" encoding="utf-8"?>
<ds:datastoreItem xmlns:ds="http://schemas.openxmlformats.org/officeDocument/2006/customXml" ds:itemID="{2C69AF4C-56E8-497D-8105-434AA745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Pages>
  <Words>3192</Words>
  <Characters>17561</Characters>
  <Application>Microsoft Office Word</Application>
  <DocSecurity>0</DocSecurity>
  <Lines>146</Lines>
  <Paragraphs>41</Paragraphs>
  <ScaleCrop>false</ScaleCrop>
  <HeadingPairs>
    <vt:vector size="4" baseType="variant">
      <vt:variant>
        <vt:lpstr>Titre</vt:lpstr>
      </vt:variant>
      <vt:variant>
        <vt:i4>1</vt:i4>
      </vt:variant>
      <vt:variant>
        <vt:lpstr>Headings</vt:lpstr>
      </vt:variant>
      <vt:variant>
        <vt:i4>14</vt:i4>
      </vt:variant>
    </vt:vector>
  </HeadingPairs>
  <TitlesOfParts>
    <vt:vector size="15" baseType="lpstr">
      <vt:lpstr>Titre page</vt:lpstr>
      <vt:lpstr>Vous rencontrez des difficultés financières importantes, quel plan d’action mett</vt:lpstr>
      <vt:lpstr>Comment définir l’état de cessation des paiements ?</vt:lpstr>
      <vt:lpstr>Procédures collectives et procédures amiables</vt:lpstr>
      <vt:lpstr>Les procédures préventives</vt:lpstr>
      <vt:lpstr>Les procédures collectives</vt:lpstr>
      <vt:lpstr>Synthèse des procédures</vt:lpstr>
      <vt:lpstr>La procédure d’alerte du commissaire aux comptes</vt:lpstr>
      <vt:lpstr>Conditions de déclenchement</vt:lpstr>
      <vt:lpstr>Déroulement de la procédure</vt:lpstr>
      <vt:lpstr>Autres droits d’alerte</vt:lpstr>
      <vt:lpstr>Les sanctions susceptibles d’être prononcées à l’encontre des dirigeants d’assoc</vt:lpstr>
      <vt:lpstr>Les sanctions pécuniaires</vt:lpstr>
      <vt:lpstr>Les sanctions personnelles </vt:lpstr>
      <vt:lpstr>Les sanctions pénales </vt:lpstr>
    </vt:vector>
  </TitlesOfParts>
  <Company/>
  <LinksUpToDate>false</LinksUpToDate>
  <CharactersWithSpaces>20712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page</dc:title>
  <dc:subject/>
  <dc:creator>Sous-titre</dc:creator>
  <cp:keywords/>
  <dc:description/>
  <cp:lastModifiedBy>Caroline VANLERBERGHE</cp:lastModifiedBy>
  <cp:revision>205</cp:revision>
  <cp:lastPrinted>2016-04-08T12:09:00Z</cp:lastPrinted>
  <dcterms:created xsi:type="dcterms:W3CDTF">2018-10-02T11:57:00Z</dcterms:created>
  <dcterms:modified xsi:type="dcterms:W3CDTF">2018-12-14T18:03:00Z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0x010100C79329B86C5E4C438C39F86B9E8E73C4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