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heme="minorEastAsia" w:hAnsi="Calibri" w:cstheme="majorHAnsi"/>
          <w:i w:val="0"/>
          <w:iCs w:val="0"/>
          <w:color w:val="auto"/>
          <w:spacing w:val="0"/>
        </w:rPr>
        <w:id w:val="1875197026"/>
        <w:docPartObj>
          <w:docPartGallery w:val="Cover Pages"/>
          <w:docPartUnique/>
        </w:docPartObj>
      </w:sdtPr>
      <w:sdtEndPr>
        <w:rPr>
          <w:b/>
          <w:bCs/>
        </w:rPr>
      </w:sdtEndPr>
      <w:sdtContent>
        <w:p w14:paraId="2B32F143" w14:textId="2A8E113B" w:rsidR="00A9743A" w:rsidRPr="008354C2" w:rsidRDefault="00A9743A" w:rsidP="007805CA">
          <w:pPr>
            <w:pStyle w:val="Sous-titre"/>
            <w:spacing w:line="276" w:lineRule="auto"/>
            <w:rPr>
              <w:rFonts w:cstheme="majorHAnsi"/>
            </w:rPr>
          </w:pPr>
        </w:p>
        <w:p w14:paraId="316E7828" w14:textId="24215212" w:rsidR="00A9743A" w:rsidRPr="008354C2" w:rsidRDefault="00223F5F" w:rsidP="007805CA">
          <w:pPr>
            <w:spacing w:line="276" w:lineRule="auto"/>
            <w:ind w:firstLine="0"/>
            <w:rPr>
              <w:rFonts w:asciiTheme="majorHAnsi" w:hAnsiTheme="majorHAnsi" w:cstheme="majorHAnsi"/>
              <w:b/>
              <w:bCs/>
            </w:rPr>
          </w:pPr>
          <w:r w:rsidRPr="00F271A1">
            <w:rPr>
              <w:rFonts w:asciiTheme="majorHAnsi" w:eastAsiaTheme="majorEastAsia" w:hAnsiTheme="majorHAnsi" w:cstheme="majorHAnsi"/>
              <w:b/>
              <w:bCs/>
              <w:noProof/>
            </w:rPr>
            <mc:AlternateContent>
              <mc:Choice Requires="wps">
                <w:drawing>
                  <wp:anchor distT="45720" distB="45720" distL="114300" distR="114300" simplePos="0" relativeHeight="251665920" behindDoc="0" locked="0" layoutInCell="1" allowOverlap="1" wp14:anchorId="1F1390E7" wp14:editId="68729C40">
                    <wp:simplePos x="0" y="0"/>
                    <wp:positionH relativeFrom="margin">
                      <wp:posOffset>179070</wp:posOffset>
                    </wp:positionH>
                    <wp:positionV relativeFrom="paragraph">
                      <wp:posOffset>3371060</wp:posOffset>
                    </wp:positionV>
                    <wp:extent cx="5620385" cy="1404620"/>
                    <wp:effectExtent l="0" t="0" r="1841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1404620"/>
                            </a:xfrm>
                            <a:prstGeom prst="rect">
                              <a:avLst/>
                            </a:prstGeom>
                            <a:noFill/>
                            <a:ln w="12700">
                              <a:solidFill>
                                <a:srgbClr val="000000"/>
                              </a:solidFill>
                              <a:miter lim="800000"/>
                              <a:headEnd/>
                              <a:tailEnd/>
                            </a:ln>
                          </wps:spPr>
                          <wps:txbx>
                            <w:txbxContent>
                              <w:p w14:paraId="6E3ED2D8" w14:textId="77777777" w:rsidR="00223F5F" w:rsidRDefault="00F271A1" w:rsidP="00ED5295">
                                <w:pPr>
                                  <w:pStyle w:val="Standard"/>
                                  <w:spacing w:line="276" w:lineRule="auto"/>
                                  <w:jc w:val="both"/>
                                  <w:rPr>
                                    <w:rFonts w:asciiTheme="majorHAnsi" w:hAnsiTheme="majorHAnsi" w:cstheme="majorHAnsi"/>
                                    <w:bCs/>
                                    <w:iCs/>
                                    <w:sz w:val="28"/>
                                    <w:szCs w:val="24"/>
                                  </w:rPr>
                                </w:pPr>
                                <w:r w:rsidRPr="00AE2706">
                                  <w:rPr>
                                    <w:rFonts w:asciiTheme="majorHAnsi" w:hAnsiTheme="majorHAnsi" w:cstheme="majorHAnsi"/>
                                    <w:sz w:val="28"/>
                                    <w:szCs w:val="24"/>
                                  </w:rPr>
                                  <w:t xml:space="preserve">Cette note s’appuie sur les conseils et mises en garde donnés par </w:t>
                                </w:r>
                                <w:r w:rsidRPr="00AE2706">
                                  <w:rPr>
                                    <w:rFonts w:asciiTheme="majorHAnsi" w:hAnsiTheme="majorHAnsi" w:cstheme="majorHAnsi"/>
                                    <w:b/>
                                    <w:sz w:val="28"/>
                                    <w:szCs w:val="24"/>
                                  </w:rPr>
                                  <w:t>l’AMF</w:t>
                                </w:r>
                                <w:r w:rsidRPr="00AE2706">
                                  <w:rPr>
                                    <w:rFonts w:asciiTheme="majorHAnsi" w:hAnsiTheme="majorHAnsi" w:cstheme="majorHAnsi"/>
                                    <w:sz w:val="28"/>
                                    <w:szCs w:val="24"/>
                                  </w:rPr>
                                  <w:t xml:space="preserve"> (Autorité des Marchés Financiers) au secteur non lucratif appelé à placer des excédents de trésorerie dans son</w:t>
                                </w:r>
                                <w:r w:rsidRPr="00AE2706">
                                  <w:rPr>
                                    <w:rFonts w:asciiTheme="majorHAnsi" w:hAnsiTheme="majorHAnsi" w:cstheme="majorHAnsi"/>
                                    <w:b/>
                                    <w:bCs/>
                                    <w:iCs/>
                                    <w:sz w:val="28"/>
                                    <w:szCs w:val="24"/>
                                  </w:rPr>
                                  <w:t xml:space="preserve"> Guide</w:t>
                                </w:r>
                                <w:r w:rsidRPr="00AE2706">
                                  <w:rPr>
                                    <w:rFonts w:asciiTheme="majorHAnsi" w:hAnsiTheme="majorHAnsi" w:cstheme="majorHAnsi"/>
                                    <w:bCs/>
                                    <w:iCs/>
                                    <w:sz w:val="28"/>
                                    <w:szCs w:val="24"/>
                                  </w:rPr>
                                  <w:t xml:space="preserve"> publié en juin 2016 :</w:t>
                                </w:r>
                              </w:p>
                              <w:p w14:paraId="17104586" w14:textId="7B2B908B" w:rsidR="00F271A1" w:rsidRPr="00AE2706" w:rsidRDefault="00F271A1" w:rsidP="00223F5F">
                                <w:pPr>
                                  <w:pStyle w:val="Standard"/>
                                  <w:spacing w:line="276" w:lineRule="auto"/>
                                  <w:jc w:val="center"/>
                                  <w:rPr>
                                    <w:rFonts w:asciiTheme="majorHAnsi" w:hAnsiTheme="majorHAnsi" w:cstheme="majorHAnsi"/>
                                    <w:sz w:val="28"/>
                                    <w:szCs w:val="24"/>
                                  </w:rPr>
                                </w:pPr>
                                <w:r w:rsidRPr="00AE2706">
                                  <w:rPr>
                                    <w:rFonts w:asciiTheme="majorHAnsi" w:hAnsiTheme="majorHAnsi" w:cstheme="majorHAnsi"/>
                                    <w:b/>
                                    <w:sz w:val="28"/>
                                    <w:szCs w:val="24"/>
                                  </w:rPr>
                                  <w:t>« Investir quand on est une association, une fondation ou une autre institution : les bonnes pratiques</w:t>
                                </w:r>
                                <w:r w:rsidR="00343127" w:rsidRPr="00AE2706">
                                  <w:rPr>
                                    <w:rFonts w:asciiTheme="majorHAnsi" w:hAnsiTheme="majorHAnsi" w:cstheme="majorHAnsi"/>
                                    <w:b/>
                                    <w:sz w:val="28"/>
                                    <w:szCs w:val="24"/>
                                  </w:rPr>
                                  <w:t> »</w:t>
                                </w:r>
                                <w:r w:rsidRPr="00AE2706">
                                  <w:rPr>
                                    <w:rFonts w:asciiTheme="majorHAnsi" w:hAnsiTheme="majorHAnsi" w:cstheme="majorHAnsi"/>
                                    <w:sz w:val="28"/>
                                    <w:szCs w:val="24"/>
                                  </w:rPr>
                                  <w:t>.</w:t>
                                </w:r>
                              </w:p>
                              <w:p w14:paraId="03EEC234" w14:textId="77777777" w:rsidR="00223F5F" w:rsidRDefault="00F271A1" w:rsidP="00223F5F">
                                <w:pPr>
                                  <w:pStyle w:val="Standard"/>
                                  <w:spacing w:line="276" w:lineRule="auto"/>
                                  <w:jc w:val="center"/>
                                  <w:rPr>
                                    <w:rFonts w:asciiTheme="majorHAnsi" w:eastAsiaTheme="minorEastAsia" w:hAnsiTheme="majorHAnsi" w:cstheme="majorHAnsi"/>
                                    <w:kern w:val="0"/>
                                    <w:sz w:val="28"/>
                                    <w:szCs w:val="24"/>
                                    <w:lang w:eastAsia="fr-FR"/>
                                  </w:rPr>
                                </w:pPr>
                                <w:r w:rsidRPr="00AE2706">
                                  <w:rPr>
                                    <w:rFonts w:asciiTheme="majorHAnsi" w:eastAsiaTheme="minorEastAsia" w:hAnsiTheme="majorHAnsi" w:cstheme="majorHAnsi"/>
                                    <w:kern w:val="0"/>
                                    <w:sz w:val="28"/>
                                    <w:szCs w:val="24"/>
                                    <w:lang w:eastAsia="fr-FR"/>
                                  </w:rPr>
                                  <w:t>Voici le lien vers ce guide :</w:t>
                                </w:r>
                              </w:p>
                              <w:p w14:paraId="6647E4FE" w14:textId="17301178" w:rsidR="00F271A1" w:rsidRPr="00AE2706" w:rsidRDefault="002C2A7A" w:rsidP="00223F5F">
                                <w:pPr>
                                  <w:pStyle w:val="Standard"/>
                                  <w:spacing w:line="276" w:lineRule="auto"/>
                                  <w:jc w:val="center"/>
                                  <w:rPr>
                                    <w:rFonts w:asciiTheme="majorHAnsi" w:eastAsiaTheme="minorEastAsia" w:hAnsiTheme="majorHAnsi" w:cstheme="majorHAnsi"/>
                                    <w:kern w:val="0"/>
                                    <w:sz w:val="28"/>
                                    <w:szCs w:val="24"/>
                                    <w:lang w:eastAsia="fr-FR"/>
                                  </w:rPr>
                                </w:pPr>
                                <w:hyperlink r:id="rId11" w:history="1">
                                  <w:r w:rsidR="00F271A1" w:rsidRPr="00AE2706">
                                    <w:rPr>
                                      <w:rStyle w:val="Lienhypertexte"/>
                                      <w:rFonts w:asciiTheme="majorHAnsi" w:eastAsiaTheme="minorEastAsia" w:hAnsiTheme="majorHAnsi" w:cstheme="majorHAnsi"/>
                                      <w:kern w:val="0"/>
                                      <w:sz w:val="28"/>
                                      <w:szCs w:val="24"/>
                                      <w:lang w:eastAsia="fr-FR"/>
                                    </w:rPr>
                                    <w:t>https://www.amf-france.org/Publications/Guides/Professionnels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1390E7" id="_x0000_t202" coordsize="21600,21600" o:spt="202" path="m,l,21600r21600,l21600,xe">
                    <v:stroke joinstyle="miter"/>
                    <v:path gradientshapeok="t" o:connecttype="rect"/>
                  </v:shapetype>
                  <v:shape id="Zone de texte 2" o:spid="_x0000_s1026" type="#_x0000_t202" style="position:absolute;margin-left:14.1pt;margin-top:265.45pt;width:442.55pt;height:110.6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" filled="f" strokeweight="1pt">
                    <v:textbox style="mso-fit-shape-to-text:t">
                      <w:txbxContent>
                        <w:p w14:paraId="6E3ED2D8" w14:textId="77777777" w:rsidR="00223F5F" w:rsidRDefault="00F271A1" w:rsidP="00ED5295">
                          <w:pPr>
                            <w:pStyle w:val="Standard"/>
                            <w:spacing w:line="276" w:lineRule="auto"/>
                            <w:jc w:val="both"/>
                            <w:rPr>
                              <w:rFonts w:asciiTheme="majorHAnsi" w:hAnsiTheme="majorHAnsi" w:cstheme="majorHAnsi"/>
                              <w:bCs/>
                              <w:iCs/>
                              <w:sz w:val="28"/>
                              <w:szCs w:val="24"/>
                            </w:rPr>
                          </w:pPr>
                          <w:r w:rsidRPr="00AE2706">
                            <w:rPr>
                              <w:rFonts w:asciiTheme="majorHAnsi" w:hAnsiTheme="majorHAnsi" w:cstheme="majorHAnsi"/>
                              <w:sz w:val="28"/>
                              <w:szCs w:val="24"/>
                            </w:rPr>
                            <w:t xml:space="preserve">Cette note s’appuie sur les conseils et mises en garde donnés par </w:t>
                          </w:r>
                          <w:r w:rsidRPr="00AE2706">
                            <w:rPr>
                              <w:rFonts w:asciiTheme="majorHAnsi" w:hAnsiTheme="majorHAnsi" w:cstheme="majorHAnsi"/>
                              <w:b/>
                              <w:sz w:val="28"/>
                              <w:szCs w:val="24"/>
                            </w:rPr>
                            <w:t>l’AMF</w:t>
                          </w:r>
                          <w:r w:rsidRPr="00AE2706">
                            <w:rPr>
                              <w:rFonts w:asciiTheme="majorHAnsi" w:hAnsiTheme="majorHAnsi" w:cstheme="majorHAnsi"/>
                              <w:sz w:val="28"/>
                              <w:szCs w:val="24"/>
                            </w:rPr>
                            <w:t xml:space="preserve"> (Autorité des Marchés Financiers) au secteur non lucratif appelé à placer des excédents de trésorerie dans son</w:t>
                          </w:r>
                          <w:r w:rsidRPr="00AE2706">
                            <w:rPr>
                              <w:rFonts w:asciiTheme="majorHAnsi" w:hAnsiTheme="majorHAnsi" w:cstheme="majorHAnsi"/>
                              <w:b/>
                              <w:bCs/>
                              <w:iCs/>
                              <w:sz w:val="28"/>
                              <w:szCs w:val="24"/>
                            </w:rPr>
                            <w:t xml:space="preserve"> Guide</w:t>
                          </w:r>
                          <w:r w:rsidRPr="00AE2706">
                            <w:rPr>
                              <w:rFonts w:asciiTheme="majorHAnsi" w:hAnsiTheme="majorHAnsi" w:cstheme="majorHAnsi"/>
                              <w:bCs/>
                              <w:iCs/>
                              <w:sz w:val="28"/>
                              <w:szCs w:val="24"/>
                            </w:rPr>
                            <w:t xml:space="preserve"> publié en juin 2016 :</w:t>
                          </w:r>
                        </w:p>
                        <w:p w14:paraId="17104586" w14:textId="7B2B908B" w:rsidR="00F271A1" w:rsidRPr="00AE2706" w:rsidRDefault="00F271A1" w:rsidP="00223F5F">
                          <w:pPr>
                            <w:pStyle w:val="Standard"/>
                            <w:spacing w:line="276" w:lineRule="auto"/>
                            <w:jc w:val="center"/>
                            <w:rPr>
                              <w:rFonts w:asciiTheme="majorHAnsi" w:hAnsiTheme="majorHAnsi" w:cstheme="majorHAnsi"/>
                              <w:sz w:val="28"/>
                              <w:szCs w:val="24"/>
                            </w:rPr>
                          </w:pPr>
                          <w:r w:rsidRPr="00AE2706">
                            <w:rPr>
                              <w:rFonts w:asciiTheme="majorHAnsi" w:hAnsiTheme="majorHAnsi" w:cstheme="majorHAnsi"/>
                              <w:b/>
                              <w:sz w:val="28"/>
                              <w:szCs w:val="24"/>
                            </w:rPr>
                            <w:t>« Investir quand on est une association, une fondation ou une autre institution : les bonnes pratiques</w:t>
                          </w:r>
                          <w:r w:rsidR="00343127" w:rsidRPr="00AE2706">
                            <w:rPr>
                              <w:rFonts w:asciiTheme="majorHAnsi" w:hAnsiTheme="majorHAnsi" w:cstheme="majorHAnsi"/>
                              <w:b/>
                              <w:sz w:val="28"/>
                              <w:szCs w:val="24"/>
                            </w:rPr>
                            <w:t> »</w:t>
                          </w:r>
                          <w:r w:rsidRPr="00AE2706">
                            <w:rPr>
                              <w:rFonts w:asciiTheme="majorHAnsi" w:hAnsiTheme="majorHAnsi" w:cstheme="majorHAnsi"/>
                              <w:sz w:val="28"/>
                              <w:szCs w:val="24"/>
                            </w:rPr>
                            <w:t>.</w:t>
                          </w:r>
                        </w:p>
                        <w:p w14:paraId="03EEC234" w14:textId="77777777" w:rsidR="00223F5F" w:rsidRDefault="00F271A1" w:rsidP="00223F5F">
                          <w:pPr>
                            <w:pStyle w:val="Standard"/>
                            <w:spacing w:line="276" w:lineRule="auto"/>
                            <w:jc w:val="center"/>
                            <w:rPr>
                              <w:rFonts w:asciiTheme="majorHAnsi" w:eastAsiaTheme="minorEastAsia" w:hAnsiTheme="majorHAnsi" w:cstheme="majorHAnsi"/>
                              <w:kern w:val="0"/>
                              <w:sz w:val="28"/>
                              <w:szCs w:val="24"/>
                              <w:lang w:eastAsia="fr-FR"/>
                            </w:rPr>
                          </w:pPr>
                          <w:r w:rsidRPr="00AE2706">
                            <w:rPr>
                              <w:rFonts w:asciiTheme="majorHAnsi" w:eastAsiaTheme="minorEastAsia" w:hAnsiTheme="majorHAnsi" w:cstheme="majorHAnsi"/>
                              <w:kern w:val="0"/>
                              <w:sz w:val="28"/>
                              <w:szCs w:val="24"/>
                              <w:lang w:eastAsia="fr-FR"/>
                            </w:rPr>
                            <w:t>Voici le lien vers ce guide :</w:t>
                          </w:r>
                        </w:p>
                        <w:p w14:paraId="6647E4FE" w14:textId="17301178" w:rsidR="00F271A1" w:rsidRPr="00AE2706" w:rsidRDefault="002C2A7A" w:rsidP="00223F5F">
                          <w:pPr>
                            <w:pStyle w:val="Standard"/>
                            <w:spacing w:line="276" w:lineRule="auto"/>
                            <w:jc w:val="center"/>
                            <w:rPr>
                              <w:rFonts w:asciiTheme="majorHAnsi" w:eastAsiaTheme="minorEastAsia" w:hAnsiTheme="majorHAnsi" w:cstheme="majorHAnsi"/>
                              <w:kern w:val="0"/>
                              <w:sz w:val="28"/>
                              <w:szCs w:val="24"/>
                              <w:lang w:eastAsia="fr-FR"/>
                            </w:rPr>
                          </w:pPr>
                          <w:hyperlink r:id="rId12" w:history="1">
                            <w:r w:rsidR="00F271A1" w:rsidRPr="00AE2706">
                              <w:rPr>
                                <w:rStyle w:val="Lienhypertexte"/>
                                <w:rFonts w:asciiTheme="majorHAnsi" w:eastAsiaTheme="minorEastAsia" w:hAnsiTheme="majorHAnsi" w:cstheme="majorHAnsi"/>
                                <w:kern w:val="0"/>
                                <w:sz w:val="28"/>
                                <w:szCs w:val="24"/>
                                <w:lang w:eastAsia="fr-FR"/>
                              </w:rPr>
                              <w:t>https://www.amf-france.org/Publications/Guides/Professionnels</w:t>
                            </w:r>
                          </w:hyperlink>
                        </w:p>
                      </w:txbxContent>
                    </v:textbox>
                    <w10:wrap type="square" anchorx="margin"/>
                  </v:shape>
                </w:pict>
              </mc:Fallback>
            </mc:AlternateContent>
          </w:r>
          <w:r w:rsidRPr="008354C2">
            <w:rPr>
              <w:rFonts w:asciiTheme="majorHAnsi" w:eastAsiaTheme="majorEastAsia" w:hAnsiTheme="majorHAnsi" w:cstheme="majorHAnsi"/>
              <w:b/>
              <w:bCs/>
              <w:noProof/>
            </w:rPr>
            <w:drawing>
              <wp:anchor distT="0" distB="0" distL="114300" distR="114300" simplePos="0" relativeHeight="251658240" behindDoc="1" locked="0" layoutInCell="1" allowOverlap="1" wp14:anchorId="17C9977C" wp14:editId="6A5E9EAB">
                <wp:simplePos x="0" y="0"/>
                <wp:positionH relativeFrom="column">
                  <wp:posOffset>-2871470</wp:posOffset>
                </wp:positionH>
                <wp:positionV relativeFrom="paragraph">
                  <wp:posOffset>255680</wp:posOffset>
                </wp:positionV>
                <wp:extent cx="11478258" cy="7656689"/>
                <wp:effectExtent l="5715" t="0" r="889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314838419_©Rawpixel.com.jpg"/>
                        <pic:cNvPicPr/>
                      </pic:nvPicPr>
                      <pic:blipFill>
                        <a:blip r:embed="rId13">
                          <a:grayscl/>
                          <a:alphaModFix amt="30000"/>
                          <a:extLst>
                            <a:ext uri="{28A0092B-C50C-407E-A947-70E740481C1C}">
                              <a14:useLocalDpi xmlns:a14="http://schemas.microsoft.com/office/drawing/2010/main" val="0"/>
                            </a:ext>
                          </a:extLst>
                        </a:blip>
                        <a:stretch>
                          <a:fillRect/>
                        </a:stretch>
                      </pic:blipFill>
                      <pic:spPr>
                        <a:xfrm rot="5400000">
                          <a:off x="0" y="0"/>
                          <a:ext cx="11478258" cy="7656689"/>
                        </a:xfrm>
                        <a:prstGeom prst="rect">
                          <a:avLst/>
                        </a:prstGeom>
                      </pic:spPr>
                    </pic:pic>
                  </a:graphicData>
                </a:graphic>
                <wp14:sizeRelH relativeFrom="margin">
                  <wp14:pctWidth>0</wp14:pctWidth>
                </wp14:sizeRelH>
                <wp14:sizeRelV relativeFrom="margin">
                  <wp14:pctHeight>0</wp14:pctHeight>
                </wp14:sizeRelV>
              </wp:anchor>
            </w:drawing>
          </w:r>
          <w:r w:rsidR="00BC4E6D" w:rsidRPr="008354C2">
            <w:rPr>
              <w:rFonts w:asciiTheme="majorHAnsi" w:eastAsiaTheme="majorEastAsia" w:hAnsiTheme="majorHAnsi" w:cstheme="majorHAnsi"/>
              <w:b/>
              <w:bCs/>
              <w:noProof/>
            </w:rPr>
            <mc:AlternateContent>
              <mc:Choice Requires="wps">
                <w:drawing>
                  <wp:anchor distT="0" distB="0" distL="114300" distR="114300" simplePos="0" relativeHeight="251658752" behindDoc="0" locked="0" layoutInCell="1" allowOverlap="1" wp14:anchorId="290D5B4E" wp14:editId="3553F366">
                    <wp:simplePos x="0" y="0"/>
                    <wp:positionH relativeFrom="column">
                      <wp:posOffset>1404620</wp:posOffset>
                    </wp:positionH>
                    <wp:positionV relativeFrom="paragraph">
                      <wp:posOffset>6784340</wp:posOffset>
                    </wp:positionV>
                    <wp:extent cx="3171825" cy="1943100"/>
                    <wp:effectExtent l="0" t="0" r="9525" b="0"/>
                    <wp:wrapThrough wrapText="bothSides">
                      <wp:wrapPolygon edited="0">
                        <wp:start x="0" y="0"/>
                        <wp:lineTo x="0" y="21388"/>
                        <wp:lineTo x="21535" y="21388"/>
                        <wp:lineTo x="21535"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3171825" cy="1943100"/>
                            </a:xfrm>
                            <a:prstGeom prst="rect">
                              <a:avLst/>
                            </a:prstGeom>
                            <a:solidFill>
                              <a:srgbClr val="00A8C0">
                                <a:alpha val="84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EA5A401" w14:textId="5624A845" w:rsidR="00D24D20" w:rsidRDefault="00D24D20" w:rsidP="00ED5295">
                                <w:pPr>
                                  <w:jc w:val="center"/>
                                  <w:rPr>
                                    <w:b/>
                                    <w:color w:val="FFFFFF" w:themeColor="background1"/>
                                    <w:sz w:val="28"/>
                                  </w:rPr>
                                </w:pPr>
                                <w:r w:rsidRPr="003B7E0E">
                                  <w:rPr>
                                    <w:b/>
                                    <w:color w:val="FFFFFF" w:themeColor="background1"/>
                                    <w:sz w:val="28"/>
                                  </w:rPr>
                                  <w:t xml:space="preserve">Note validée par la Commission comptabilité-gestion et le Conseil d’administration - </w:t>
                                </w:r>
                                <w:r w:rsidR="000921FD">
                                  <w:rPr>
                                    <w:b/>
                                    <w:color w:val="FFFFFF" w:themeColor="background1"/>
                                    <w:sz w:val="28"/>
                                  </w:rPr>
                                  <w:t>décembre</w:t>
                                </w:r>
                                <w:r w:rsidRPr="003B7E0E">
                                  <w:rPr>
                                    <w:b/>
                                    <w:color w:val="FFFFFF" w:themeColor="background1"/>
                                    <w:sz w:val="28"/>
                                  </w:rPr>
                                  <w:t xml:space="preserve"> 2018</w:t>
                                </w:r>
                              </w:p>
                              <w:p w14:paraId="33F214ED" w14:textId="77777777" w:rsidR="00D24D20" w:rsidRPr="003B7E0E" w:rsidRDefault="00D24D20" w:rsidP="00D24D20">
                                <w:pPr>
                                  <w:rPr>
                                    <w:b/>
                                    <w:color w:val="FFFFFF" w:themeColor="background1"/>
                                    <w:sz w:val="28"/>
                                  </w:rPr>
                                </w:pPr>
                              </w:p>
                              <w:p w14:paraId="510B9FE2" w14:textId="79B2A4B5" w:rsidR="00F26F9F" w:rsidRPr="00A070B8" w:rsidRDefault="00F26F9F" w:rsidP="00483307">
                                <w:pPr>
                                  <w:ind w:firstLine="0"/>
                                </w:pPr>
                              </w:p>
                              <w:p w14:paraId="7E1BF8E2" w14:textId="77777777" w:rsidR="008802DF" w:rsidRDefault="008802DF"/>
                            </w:txbxContent>
                          </wps:txbx>
                          <wps:bodyPr rot="0" spcFirstLastPara="0" vertOverflow="overflow" horzOverflow="overflow" vert="horz" wrap="square" lIns="180000" tIns="180000" rIns="180000" bIns="72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5B4E" id="Rectangle 12" o:spid="_x0000_s1027" style="position:absolute;margin-left:110.6pt;margin-top:534.2pt;width:249.75pt;height:1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" fillcolor="#00a8c0" stroked="f">
                    <v:fill opacity="54998f"/>
                    <v:textbox inset="5mm,5mm,5mm,20mm">
                      <w:txbxContent>
                        <w:p w14:paraId="3EA5A401" w14:textId="5624A845" w:rsidR="00D24D20" w:rsidRDefault="00D24D20" w:rsidP="00ED5295">
                          <w:pPr>
                            <w:jc w:val="center"/>
                            <w:rPr>
                              <w:b/>
                              <w:color w:val="FFFFFF" w:themeColor="background1"/>
                              <w:sz w:val="28"/>
                            </w:rPr>
                          </w:pPr>
                          <w:r w:rsidRPr="003B7E0E">
                            <w:rPr>
                              <w:b/>
                              <w:color w:val="FFFFFF" w:themeColor="background1"/>
                              <w:sz w:val="28"/>
                            </w:rPr>
                            <w:t xml:space="preserve">Note validée par la Commission comptabilité-gestion et le Conseil d’administration - </w:t>
                          </w:r>
                          <w:r w:rsidR="000921FD">
                            <w:rPr>
                              <w:b/>
                              <w:color w:val="FFFFFF" w:themeColor="background1"/>
                              <w:sz w:val="28"/>
                            </w:rPr>
                            <w:t>décembre</w:t>
                          </w:r>
                          <w:r w:rsidRPr="003B7E0E">
                            <w:rPr>
                              <w:b/>
                              <w:color w:val="FFFFFF" w:themeColor="background1"/>
                              <w:sz w:val="28"/>
                            </w:rPr>
                            <w:t xml:space="preserve"> 2018</w:t>
                          </w:r>
                        </w:p>
                        <w:p w14:paraId="33F214ED" w14:textId="77777777" w:rsidR="00D24D20" w:rsidRPr="003B7E0E" w:rsidRDefault="00D24D20" w:rsidP="00D24D20">
                          <w:pPr>
                            <w:rPr>
                              <w:b/>
                              <w:color w:val="FFFFFF" w:themeColor="background1"/>
                              <w:sz w:val="28"/>
                            </w:rPr>
                          </w:pPr>
                        </w:p>
                        <w:p w14:paraId="510B9FE2" w14:textId="79B2A4B5" w:rsidR="00F26F9F" w:rsidRPr="00A070B8" w:rsidRDefault="00F26F9F" w:rsidP="00483307">
                          <w:pPr>
                            <w:ind w:firstLine="0"/>
                          </w:pPr>
                        </w:p>
                        <w:p w14:paraId="7E1BF8E2" w14:textId="77777777" w:rsidR="008802DF" w:rsidRDefault="008802DF"/>
                      </w:txbxContent>
                    </v:textbox>
                    <w10:wrap type="through"/>
                  </v:rect>
                </w:pict>
              </mc:Fallback>
            </mc:AlternateContent>
          </w:r>
          <w:r w:rsidR="00483307" w:rsidRPr="008354C2">
            <w:rPr>
              <w:rFonts w:asciiTheme="majorHAnsi" w:eastAsiaTheme="majorEastAsia" w:hAnsiTheme="majorHAnsi" w:cstheme="majorHAnsi"/>
              <w:b/>
              <w:bCs/>
              <w:noProof/>
            </w:rPr>
            <w:drawing>
              <wp:anchor distT="0" distB="0" distL="114300" distR="114300" simplePos="0" relativeHeight="251660800" behindDoc="0" locked="0" layoutInCell="1" allowOverlap="1" wp14:anchorId="73570AFE" wp14:editId="7F36E0DE">
                <wp:simplePos x="0" y="0"/>
                <wp:positionH relativeFrom="column">
                  <wp:posOffset>2371725</wp:posOffset>
                </wp:positionH>
                <wp:positionV relativeFrom="paragraph">
                  <wp:posOffset>7285990</wp:posOffset>
                </wp:positionV>
                <wp:extent cx="1397000" cy="812800"/>
                <wp:effectExtent l="0" t="0" r="0" b="0"/>
                <wp:wrapNone/>
                <wp:docPr id="5" name="Image 5" descr="Dossiers en cours:Clients:FNOGEC:18679 Rapport d'activité FNOGEC:Links:Logo-Fnogec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siers en cours:Clients:FNOGEC:18679 Rapport d'activité FNOGEC:Links:Logo-Fnogec_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0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DFF" w:rsidRPr="008354C2">
            <w:rPr>
              <w:rFonts w:asciiTheme="majorHAnsi" w:eastAsiaTheme="majorEastAsia" w:hAnsiTheme="majorHAnsi" w:cstheme="majorHAnsi"/>
              <w:b/>
              <w:bCs/>
              <w:noProof/>
            </w:rPr>
            <mc:AlternateContent>
              <mc:Choice Requires="wps">
                <w:drawing>
                  <wp:anchor distT="0" distB="0" distL="114300" distR="114300" simplePos="0" relativeHeight="251659264" behindDoc="0" locked="0" layoutInCell="1" allowOverlap="1" wp14:anchorId="7D4F3C5C" wp14:editId="38964C7F">
                    <wp:simplePos x="0" y="0"/>
                    <wp:positionH relativeFrom="column">
                      <wp:posOffset>914400</wp:posOffset>
                    </wp:positionH>
                    <wp:positionV relativeFrom="paragraph">
                      <wp:posOffset>271145</wp:posOffset>
                    </wp:positionV>
                    <wp:extent cx="4000500" cy="2400300"/>
                    <wp:effectExtent l="0" t="0" r="0" b="0"/>
                    <wp:wrapThrough wrapText="bothSides">
                      <wp:wrapPolygon edited="0">
                        <wp:start x="0" y="0"/>
                        <wp:lineTo x="0" y="21429"/>
                        <wp:lineTo x="21497" y="21429"/>
                        <wp:lineTo x="21497" y="0"/>
                        <wp:lineTo x="0" y="0"/>
                      </wp:wrapPolygon>
                    </wp:wrapThrough>
                    <wp:docPr id="7" name="Rectangle 7"/>
                    <wp:cNvGraphicFramePr/>
                    <a:graphic xmlns:a="http://schemas.openxmlformats.org/drawingml/2006/main">
                      <a:graphicData uri="http://schemas.microsoft.com/office/word/2010/wordprocessingShape">
                        <wps:wsp>
                          <wps:cNvSpPr/>
                          <wps:spPr>
                            <a:xfrm>
                              <a:off x="0" y="0"/>
                              <a:ext cx="4000500" cy="2400300"/>
                            </a:xfrm>
                            <a:prstGeom prst="rect">
                              <a:avLst/>
                            </a:prstGeom>
                            <a:solidFill>
                              <a:srgbClr val="00A8C0">
                                <a:alpha val="84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BD8D6D5" w14:textId="77777777" w:rsidR="00C838AC" w:rsidRPr="00C60EF8" w:rsidRDefault="00C838AC" w:rsidP="00C23FBA">
                                <w:pPr>
                                  <w:pStyle w:val="Sansinterligne"/>
                                  <w:spacing w:line="360" w:lineRule="auto"/>
                                  <w:jc w:val="center"/>
                                  <w:rPr>
                                    <w:sz w:val="40"/>
                                    <w:szCs w:val="24"/>
                                  </w:rPr>
                                </w:pPr>
                                <w:r w:rsidRPr="00C60EF8">
                                  <w:rPr>
                                    <w:sz w:val="40"/>
                                    <w:szCs w:val="24"/>
                                  </w:rPr>
                                  <w:t>Note d’orientation sur les placements financiers envisageables par les Ogec</w:t>
                                </w:r>
                              </w:p>
                            </w:txbxContent>
                          </wps:txbx>
                          <wps:bodyPr rot="0" spcFirstLastPara="0" vertOverflow="overflow" horzOverflow="overflow" vert="horz" wrap="square" lIns="360000" tIns="0" rIns="180000" bIns="180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F3C5C" id="Rectangle 7" o:spid="_x0000_s1028" style="position:absolute;margin-left:1in;margin-top:21.35pt;width:315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" fillcolor="#00a8c0" stroked="f">
                    <v:fill opacity="54998f"/>
                    <v:textbox inset="10mm,0,5mm,5mm">
                      <w:txbxContent>
                        <w:p w14:paraId="6BD8D6D5" w14:textId="77777777" w:rsidR="00C838AC" w:rsidRPr="00C60EF8" w:rsidRDefault="00C838AC" w:rsidP="00C23FBA">
                          <w:pPr>
                            <w:pStyle w:val="Sansinterligne"/>
                            <w:spacing w:line="360" w:lineRule="auto"/>
                            <w:jc w:val="center"/>
                            <w:rPr>
                              <w:sz w:val="40"/>
                              <w:szCs w:val="24"/>
                            </w:rPr>
                          </w:pPr>
                          <w:r w:rsidRPr="00C60EF8">
                            <w:rPr>
                              <w:sz w:val="40"/>
                              <w:szCs w:val="24"/>
                            </w:rPr>
                            <w:t>Note d’orientation sur les placements financiers envisageables par les Ogec</w:t>
                          </w:r>
                        </w:p>
                      </w:txbxContent>
                    </v:textbox>
                    <w10:wrap type="through"/>
                  </v:rect>
                </w:pict>
              </mc:Fallback>
            </mc:AlternateContent>
          </w:r>
          <w:r w:rsidR="00A9743A" w:rsidRPr="008354C2">
            <w:rPr>
              <w:rFonts w:asciiTheme="majorHAnsi" w:eastAsiaTheme="majorEastAsia" w:hAnsiTheme="majorHAnsi" w:cstheme="majorHAnsi"/>
              <w:b/>
              <w:bCs/>
            </w:rPr>
            <w:br w:type="page"/>
          </w:r>
        </w:p>
      </w:sdtContent>
    </w:sdt>
    <w:p w14:paraId="4061F2DD" w14:textId="77777777" w:rsidR="004552AB" w:rsidRPr="00E46654" w:rsidRDefault="004552AB" w:rsidP="00354A15">
      <w:pPr>
        <w:pStyle w:val="Sansinterligne"/>
        <w:ind w:left="0"/>
        <w:jc w:val="center"/>
      </w:pPr>
      <w:r w:rsidRPr="00E46654">
        <w:lastRenderedPageBreak/>
        <w:t>Synthèse : l’essentiel de ce qu’il faut retenir</w:t>
      </w:r>
    </w:p>
    <w:p w14:paraId="50CF615F" w14:textId="77777777" w:rsidR="002F3E6B" w:rsidRDefault="002F3E6B" w:rsidP="0075007A">
      <w:pPr>
        <w:spacing w:line="276" w:lineRule="auto"/>
        <w:ind w:firstLine="0"/>
      </w:pPr>
    </w:p>
    <w:p w14:paraId="644FA8D0" w14:textId="411B566D" w:rsidR="00C838AC" w:rsidRDefault="00C838AC" w:rsidP="008414AC">
      <w:pPr>
        <w:spacing w:line="276" w:lineRule="auto"/>
        <w:ind w:firstLine="0"/>
        <w:jc w:val="both"/>
      </w:pPr>
      <w:r w:rsidRPr="00E46654">
        <w:t>Quelle que soit la taille de l’O</w:t>
      </w:r>
      <w:r w:rsidR="0075007A">
        <w:t>gec</w:t>
      </w:r>
      <w:r w:rsidRPr="00E46654">
        <w:t xml:space="preserve">, celui-ci doit impérativement obtenir de l’établissement financier une </w:t>
      </w:r>
      <w:r w:rsidRPr="00EE2210">
        <w:rPr>
          <w:b/>
        </w:rPr>
        <w:t>classification en client non-professionnel</w:t>
      </w:r>
      <w:r w:rsidRPr="00E46654">
        <w:t xml:space="preserve"> : </w:t>
      </w:r>
      <w:r w:rsidR="00D43114">
        <w:t xml:space="preserve">en effet, </w:t>
      </w:r>
      <w:r w:rsidRPr="00E46654">
        <w:t xml:space="preserve">la responsabilité de l’établissement financier, dès lors qu’il aura rempli scrupuleusement ses obligations réglementaires en matière de connaissance du profil investisseur de son client, ne pourra pas, ou très aléatoirement, être mise en cause pour, par exemple, défaut de conseil, en cas de perte élevée en capital sur les fonds placés. </w:t>
      </w:r>
    </w:p>
    <w:p w14:paraId="58E57ED7" w14:textId="77777777" w:rsidR="002F3E6B" w:rsidRPr="00E46654" w:rsidRDefault="002F3E6B" w:rsidP="0075007A">
      <w:pPr>
        <w:spacing w:line="276" w:lineRule="auto"/>
        <w:ind w:firstLine="0"/>
      </w:pPr>
    </w:p>
    <w:p w14:paraId="5F0C180A" w14:textId="6243D091" w:rsidR="00C838AC" w:rsidRDefault="00C838AC" w:rsidP="0075007A">
      <w:pPr>
        <w:spacing w:line="276" w:lineRule="auto"/>
        <w:ind w:firstLine="0"/>
      </w:pPr>
      <w:r w:rsidRPr="00E46654">
        <w:t>Le processus de placement de la trésorerie excédentaire obéit aux principes suivants :</w:t>
      </w:r>
    </w:p>
    <w:p w14:paraId="5EA544E2" w14:textId="77777777" w:rsidR="009B70A2" w:rsidRPr="00E46654" w:rsidRDefault="009B70A2" w:rsidP="0075007A">
      <w:pPr>
        <w:spacing w:line="276" w:lineRule="auto"/>
        <w:ind w:firstLine="0"/>
      </w:pPr>
    </w:p>
    <w:p w14:paraId="6E0327B9" w14:textId="271483BE" w:rsidR="00C838AC" w:rsidRPr="00E46654" w:rsidRDefault="00C838AC" w:rsidP="004A10CF">
      <w:pPr>
        <w:pStyle w:val="Paragraphedeliste"/>
        <w:numPr>
          <w:ilvl w:val="0"/>
          <w:numId w:val="36"/>
        </w:numPr>
      </w:pPr>
      <w:r w:rsidRPr="00E46654">
        <w:t xml:space="preserve">L’Ogec doit déterminer les quotités de placement de </w:t>
      </w:r>
      <w:r w:rsidRPr="0017679B">
        <w:rPr>
          <w:b/>
        </w:rPr>
        <w:t>trésorerie courte</w:t>
      </w:r>
      <w:r w:rsidRPr="00E46654">
        <w:t xml:space="preserve"> (destinée au fonctionnement courant) </w:t>
      </w:r>
      <w:r w:rsidRPr="0017679B">
        <w:rPr>
          <w:b/>
        </w:rPr>
        <w:t>et longue</w:t>
      </w:r>
      <w:r w:rsidRPr="00E46654">
        <w:t xml:space="preserve"> (placement en vue d’un investissement futur).</w:t>
      </w:r>
    </w:p>
    <w:p w14:paraId="0A17DA39" w14:textId="398E6028" w:rsidR="00C838AC" w:rsidRPr="00E46654" w:rsidRDefault="00C838AC" w:rsidP="004A10CF">
      <w:pPr>
        <w:pStyle w:val="Paragraphedeliste"/>
        <w:numPr>
          <w:ilvl w:val="0"/>
          <w:numId w:val="36"/>
        </w:numPr>
      </w:pPr>
      <w:r w:rsidRPr="00E46654">
        <w:t xml:space="preserve">La politique de placement doit être </w:t>
      </w:r>
      <w:r w:rsidRPr="0017679B">
        <w:rPr>
          <w:b/>
        </w:rPr>
        <w:t xml:space="preserve">validée par le </w:t>
      </w:r>
      <w:r w:rsidR="00FD0524" w:rsidRPr="0017679B">
        <w:rPr>
          <w:b/>
        </w:rPr>
        <w:t>c</w:t>
      </w:r>
      <w:r w:rsidRPr="0017679B">
        <w:rPr>
          <w:b/>
        </w:rPr>
        <w:t>onseil d’administration de l’O</w:t>
      </w:r>
      <w:r w:rsidR="00FD0524" w:rsidRPr="0017679B">
        <w:rPr>
          <w:b/>
        </w:rPr>
        <w:t>gec</w:t>
      </w:r>
      <w:r w:rsidRPr="00E46654">
        <w:t xml:space="preserve">, idéalement sur un rythme de deux à trois ans au maximum lors de l’approbation du budget </w:t>
      </w:r>
      <w:r w:rsidR="00B12C91">
        <w:t xml:space="preserve">annuel </w:t>
      </w:r>
      <w:r w:rsidRPr="00E46654">
        <w:t xml:space="preserve">de fonctionnement et d’investissement, et du </w:t>
      </w:r>
      <w:r w:rsidR="00D73C94">
        <w:t>p</w:t>
      </w:r>
      <w:r w:rsidRPr="00E46654">
        <w:t>lan pluriannuel d’investissement (PPI).</w:t>
      </w:r>
    </w:p>
    <w:p w14:paraId="501B737B" w14:textId="2ADF6425" w:rsidR="00C838AC" w:rsidRPr="00E46654" w:rsidRDefault="00C838AC" w:rsidP="004A10CF">
      <w:pPr>
        <w:pStyle w:val="Paragraphedeliste"/>
        <w:numPr>
          <w:ilvl w:val="0"/>
          <w:numId w:val="36"/>
        </w:numPr>
      </w:pPr>
      <w:r w:rsidRPr="00E46654">
        <w:t xml:space="preserve">La </w:t>
      </w:r>
      <w:proofErr w:type="spellStart"/>
      <w:r w:rsidRPr="00E46654">
        <w:t>F</w:t>
      </w:r>
      <w:r w:rsidR="00FD0524">
        <w:t>nogec</w:t>
      </w:r>
      <w:proofErr w:type="spellEnd"/>
      <w:r w:rsidRPr="00E46654">
        <w:t xml:space="preserve"> a toujours recommandé aux Ogec d’effectuer des </w:t>
      </w:r>
      <w:r w:rsidRPr="00B12C91">
        <w:rPr>
          <w:b/>
        </w:rPr>
        <w:t>placements sans risque en capital</w:t>
      </w:r>
      <w:r w:rsidRPr="00E46654">
        <w:t xml:space="preserve">. L’objet de cette note est de présenter, compte tenu des faibles rendements des placements classiques (livrets ou monétaires, courts ou longs), quelle est la </w:t>
      </w:r>
      <w:r w:rsidRPr="00B12C91">
        <w:rPr>
          <w:b/>
        </w:rPr>
        <w:t>typologie de risque par support</w:t>
      </w:r>
      <w:r w:rsidRPr="00E46654">
        <w:t xml:space="preserve">. Les principaux placements proposés par les établissements financiers sont décrits </w:t>
      </w:r>
      <w:r w:rsidR="00595E0E">
        <w:t>ci-après</w:t>
      </w:r>
      <w:r w:rsidRPr="00E46654">
        <w:t xml:space="preserve"> : </w:t>
      </w:r>
      <w:r w:rsidR="0045374D">
        <w:t>o</w:t>
      </w:r>
      <w:r w:rsidRPr="00E46654">
        <w:t xml:space="preserve">rganismes de </w:t>
      </w:r>
      <w:r w:rsidR="0045374D">
        <w:t>p</w:t>
      </w:r>
      <w:r w:rsidRPr="00E46654">
        <w:t>lacement</w:t>
      </w:r>
      <w:r w:rsidR="009550B3">
        <w:t>s</w:t>
      </w:r>
      <w:r w:rsidRPr="00E46654">
        <w:t xml:space="preserve"> </w:t>
      </w:r>
      <w:r w:rsidR="0045374D">
        <w:t>c</w:t>
      </w:r>
      <w:r w:rsidRPr="00E46654">
        <w:t xml:space="preserve">ollectifs (OPC), </w:t>
      </w:r>
      <w:r w:rsidR="0045374D">
        <w:t>o</w:t>
      </w:r>
      <w:r w:rsidRPr="00E46654">
        <w:t>bligations (</w:t>
      </w:r>
      <w:r w:rsidR="0045374D">
        <w:t>dont les</w:t>
      </w:r>
      <w:r w:rsidRPr="00E46654">
        <w:t xml:space="preserve"> </w:t>
      </w:r>
      <w:r w:rsidR="00F71E0E">
        <w:t xml:space="preserve">TCN ou </w:t>
      </w:r>
      <w:r w:rsidR="0045374D">
        <w:t>t</w:t>
      </w:r>
      <w:r w:rsidRPr="00E46654">
        <w:t xml:space="preserve">itres de </w:t>
      </w:r>
      <w:r w:rsidR="0045374D">
        <w:t>c</w:t>
      </w:r>
      <w:r w:rsidRPr="00E46654">
        <w:t xml:space="preserve">réances </w:t>
      </w:r>
      <w:r w:rsidR="0045374D">
        <w:t>n</w:t>
      </w:r>
      <w:r w:rsidRPr="00E46654">
        <w:t xml:space="preserve">égociables), </w:t>
      </w:r>
      <w:r w:rsidR="0045374D">
        <w:t>a</w:t>
      </w:r>
      <w:r w:rsidRPr="00E46654">
        <w:t xml:space="preserve">ctions. </w:t>
      </w:r>
    </w:p>
    <w:p w14:paraId="482A070E" w14:textId="48FDC0B0" w:rsidR="00C838AC" w:rsidRPr="00E46654" w:rsidRDefault="00C838AC" w:rsidP="004A10CF">
      <w:pPr>
        <w:pStyle w:val="Paragraphedeliste"/>
        <w:numPr>
          <w:ilvl w:val="0"/>
          <w:numId w:val="36"/>
        </w:numPr>
      </w:pPr>
      <w:r w:rsidRPr="00E46654">
        <w:t xml:space="preserve">Au niveau </w:t>
      </w:r>
      <w:r w:rsidR="005D07EC">
        <w:t>de l’</w:t>
      </w:r>
      <w:r w:rsidRPr="00E46654">
        <w:t>O</w:t>
      </w:r>
      <w:r w:rsidR="00F60CF6">
        <w:t>gec</w:t>
      </w:r>
      <w:r w:rsidRPr="00E46654">
        <w:t xml:space="preserve">, en matière de gestion de trésorerie, se posent deux questions clés : </w:t>
      </w:r>
      <w:r w:rsidRPr="006623A0">
        <w:rPr>
          <w:b/>
        </w:rPr>
        <w:t>la gouvernance</w:t>
      </w:r>
      <w:r w:rsidRPr="00E46654">
        <w:t xml:space="preserve">, avec en particulier (i) la nécessité d’avoir en place des hommes disposant de </w:t>
      </w:r>
      <w:r w:rsidRPr="006623A0">
        <w:rPr>
          <w:u w:val="single"/>
        </w:rPr>
        <w:t>compétences financières</w:t>
      </w:r>
      <w:r w:rsidRPr="00E46654">
        <w:t xml:space="preserve"> et (ii) la mise en place de </w:t>
      </w:r>
      <w:r w:rsidRPr="006623A0">
        <w:rPr>
          <w:u w:val="single"/>
        </w:rPr>
        <w:t xml:space="preserve">comptes rendus réguliers au </w:t>
      </w:r>
      <w:r w:rsidR="00483D98">
        <w:rPr>
          <w:u w:val="single"/>
        </w:rPr>
        <w:t>conseil d’administration</w:t>
      </w:r>
      <w:r w:rsidRPr="00E46654">
        <w:t xml:space="preserve"> ; </w:t>
      </w:r>
      <w:r w:rsidRPr="006623A0">
        <w:rPr>
          <w:b/>
        </w:rPr>
        <w:t>la prévention des conflits d’intérêts</w:t>
      </w:r>
      <w:r w:rsidRPr="00E46654">
        <w:t xml:space="preserve"> pouvant survenir selon le profil professionnel des membres de l’O</w:t>
      </w:r>
      <w:r w:rsidR="00483D98">
        <w:t>gec</w:t>
      </w:r>
      <w:r w:rsidRPr="00E46654">
        <w:t xml:space="preserve">. </w:t>
      </w:r>
    </w:p>
    <w:p w14:paraId="0F5D87F8" w14:textId="61D59C5E" w:rsidR="00C838AC" w:rsidRDefault="00C838AC" w:rsidP="004A10CF">
      <w:pPr>
        <w:pStyle w:val="Paragraphedeliste"/>
        <w:numPr>
          <w:ilvl w:val="0"/>
          <w:numId w:val="36"/>
        </w:numPr>
      </w:pPr>
      <w:r w:rsidRPr="00E46654">
        <w:t xml:space="preserve">Ces points incitent à </w:t>
      </w:r>
      <w:r w:rsidRPr="000B313F">
        <w:rPr>
          <w:b/>
        </w:rPr>
        <w:t>privilégier des produits sans risque et à fiscalité simple</w:t>
      </w:r>
      <w:r w:rsidRPr="00E46654">
        <w:t> : en cas de départ d’un administrateur ou trésorier compétent en matière financière, l’incertitude sur le profil de son successeur pousse</w:t>
      </w:r>
      <w:r w:rsidR="006E2321">
        <w:t>,</w:t>
      </w:r>
      <w:r w:rsidRPr="00E46654">
        <w:t xml:space="preserve"> par prudence</w:t>
      </w:r>
      <w:r w:rsidR="006E2321">
        <w:t>,</w:t>
      </w:r>
      <w:r w:rsidRPr="00E46654">
        <w:t xml:space="preserve"> à privilégier des produits potentiellement moins rémunérateurs mais plus accessibles. </w:t>
      </w:r>
    </w:p>
    <w:p w14:paraId="70D24389" w14:textId="2C0A0A5F" w:rsidR="0055135E" w:rsidRPr="00E46654" w:rsidRDefault="0055135E" w:rsidP="004A10CF">
      <w:pPr>
        <w:pStyle w:val="Paragraphedeliste"/>
        <w:numPr>
          <w:ilvl w:val="0"/>
          <w:numId w:val="36"/>
        </w:numPr>
      </w:pPr>
      <w:r w:rsidRPr="00E46654">
        <w:t>Enfin, cette note aborde le sujet des titres de sociétés certifiées « </w:t>
      </w:r>
      <w:r w:rsidR="00A844AD">
        <w:t>i</w:t>
      </w:r>
      <w:r w:rsidRPr="00E46654">
        <w:t xml:space="preserve">nvestissement </w:t>
      </w:r>
      <w:r w:rsidR="00A844AD">
        <w:t>s</w:t>
      </w:r>
      <w:r w:rsidRPr="00E46654">
        <w:t xml:space="preserve">ocialement </w:t>
      </w:r>
      <w:r w:rsidR="00A844AD">
        <w:t>r</w:t>
      </w:r>
      <w:r w:rsidRPr="00E46654">
        <w:t>esponsable » (</w:t>
      </w:r>
      <w:r w:rsidRPr="00F271A1">
        <w:t>ISR</w:t>
      </w:r>
      <w:r w:rsidRPr="00E46654">
        <w:t>).</w:t>
      </w:r>
    </w:p>
    <w:p w14:paraId="5704DE55" w14:textId="77777777" w:rsidR="0055135E" w:rsidRPr="0055135E" w:rsidRDefault="0055135E" w:rsidP="0055135E">
      <w:pPr>
        <w:rPr>
          <w:lang w:eastAsia="en-US"/>
        </w:rPr>
      </w:pPr>
    </w:p>
    <w:p w14:paraId="4DAAD466" w14:textId="36457489" w:rsidR="00C838AC" w:rsidRPr="008354C2" w:rsidRDefault="00C838AC" w:rsidP="00354A15">
      <w:pPr>
        <w:pStyle w:val="Sansinterligne"/>
        <w:ind w:left="0"/>
        <w:jc w:val="center"/>
      </w:pPr>
      <w:r w:rsidRPr="008354C2">
        <w:lastRenderedPageBreak/>
        <w:t xml:space="preserve">Introduction : la distinction essentielle </w:t>
      </w:r>
      <w:r w:rsidR="00354A15">
        <w:br/>
      </w:r>
      <w:r w:rsidRPr="008354C2">
        <w:t>entre clients professionnels et non</w:t>
      </w:r>
      <w:r w:rsidR="00354A15">
        <w:t>-</w:t>
      </w:r>
      <w:r w:rsidRPr="008354C2">
        <w:t>professionnels</w:t>
      </w:r>
    </w:p>
    <w:p w14:paraId="2DA333A2" w14:textId="14B19692"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Les associations et fondations s’inscrivent principalement </w:t>
      </w:r>
      <w:r w:rsidRPr="008354C2">
        <w:rPr>
          <w:rFonts w:asciiTheme="majorHAnsi" w:hAnsiTheme="majorHAnsi" w:cstheme="majorHAnsi"/>
          <w:b/>
          <w:bCs/>
          <w:sz w:val="24"/>
          <w:szCs w:val="24"/>
        </w:rPr>
        <w:t>dans la catégorie des investisseurs non</w:t>
      </w:r>
      <w:r w:rsidR="003B4430">
        <w:rPr>
          <w:rFonts w:asciiTheme="majorHAnsi" w:hAnsiTheme="majorHAnsi" w:cstheme="majorHAnsi"/>
          <w:b/>
          <w:bCs/>
          <w:sz w:val="24"/>
          <w:szCs w:val="24"/>
        </w:rPr>
        <w:t>-</w:t>
      </w:r>
      <w:r w:rsidRPr="008354C2">
        <w:rPr>
          <w:rFonts w:asciiTheme="majorHAnsi" w:hAnsiTheme="majorHAnsi" w:cstheme="majorHAnsi"/>
          <w:b/>
          <w:bCs/>
          <w:sz w:val="24"/>
          <w:szCs w:val="24"/>
        </w:rPr>
        <w:t xml:space="preserve">professionnels </w:t>
      </w:r>
      <w:r w:rsidRPr="008354C2">
        <w:rPr>
          <w:rFonts w:asciiTheme="majorHAnsi" w:hAnsiTheme="majorHAnsi" w:cstheme="majorHAnsi"/>
          <w:sz w:val="24"/>
          <w:szCs w:val="24"/>
        </w:rPr>
        <w:t>telle que définie par la Directive 2004/39/CE concernant les marchés d’instruments financiers (</w:t>
      </w:r>
      <w:r w:rsidRPr="00327834">
        <w:rPr>
          <w:rFonts w:asciiTheme="majorHAnsi" w:hAnsiTheme="majorHAnsi" w:cstheme="majorHAnsi"/>
          <w:bCs/>
          <w:sz w:val="24"/>
          <w:szCs w:val="24"/>
        </w:rPr>
        <w:t xml:space="preserve">dite </w:t>
      </w:r>
      <w:r w:rsidRPr="008354C2">
        <w:rPr>
          <w:rFonts w:asciiTheme="majorHAnsi" w:hAnsiTheme="majorHAnsi" w:cstheme="majorHAnsi"/>
          <w:b/>
          <w:bCs/>
          <w:sz w:val="24"/>
          <w:szCs w:val="24"/>
        </w:rPr>
        <w:t xml:space="preserve">directive </w:t>
      </w:r>
      <w:r w:rsidR="00265A07">
        <w:rPr>
          <w:rFonts w:asciiTheme="majorHAnsi" w:hAnsiTheme="majorHAnsi" w:cstheme="majorHAnsi"/>
          <w:b/>
          <w:bCs/>
          <w:sz w:val="24"/>
          <w:szCs w:val="24"/>
        </w:rPr>
        <w:t>« </w:t>
      </w:r>
      <w:r w:rsidRPr="008354C2">
        <w:rPr>
          <w:rFonts w:asciiTheme="majorHAnsi" w:hAnsiTheme="majorHAnsi" w:cstheme="majorHAnsi"/>
          <w:b/>
          <w:bCs/>
          <w:sz w:val="24"/>
          <w:szCs w:val="24"/>
        </w:rPr>
        <w:t>MIF</w:t>
      </w:r>
      <w:r w:rsidR="00265A07">
        <w:rPr>
          <w:rFonts w:asciiTheme="majorHAnsi" w:hAnsiTheme="majorHAnsi" w:cstheme="majorHAnsi"/>
          <w:b/>
          <w:bCs/>
          <w:sz w:val="24"/>
          <w:szCs w:val="24"/>
        </w:rPr>
        <w:t> »</w:t>
      </w:r>
      <w:r w:rsidRPr="008354C2">
        <w:rPr>
          <w:rFonts w:asciiTheme="majorHAnsi" w:hAnsiTheme="majorHAnsi" w:cstheme="majorHAnsi"/>
          <w:sz w:val="24"/>
          <w:szCs w:val="24"/>
        </w:rPr>
        <w:t>) et reprise en droit français.</w:t>
      </w:r>
    </w:p>
    <w:p w14:paraId="69009AE0" w14:textId="3EF87B83"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Les clients non</w:t>
      </w:r>
      <w:r w:rsidR="00265A07">
        <w:rPr>
          <w:rFonts w:asciiTheme="majorHAnsi" w:hAnsiTheme="majorHAnsi" w:cstheme="majorHAnsi"/>
          <w:sz w:val="24"/>
          <w:szCs w:val="24"/>
        </w:rPr>
        <w:t>-</w:t>
      </w:r>
      <w:r w:rsidRPr="008354C2">
        <w:rPr>
          <w:rFonts w:asciiTheme="majorHAnsi" w:hAnsiTheme="majorHAnsi" w:cstheme="majorHAnsi"/>
          <w:sz w:val="24"/>
          <w:szCs w:val="24"/>
        </w:rPr>
        <w:t>professionnels sont ceux qui ne rentrent pas dans les critères ci-dessous ou les remplissent mais demandent à opter pour le statut</w:t>
      </w:r>
      <w:r w:rsidR="004837EA">
        <w:rPr>
          <w:rFonts w:asciiTheme="majorHAnsi" w:hAnsiTheme="majorHAnsi" w:cstheme="majorHAnsi"/>
          <w:sz w:val="24"/>
          <w:szCs w:val="24"/>
        </w:rPr>
        <w:t>-</w:t>
      </w:r>
      <w:r w:rsidRPr="008354C2">
        <w:rPr>
          <w:rFonts w:asciiTheme="majorHAnsi" w:hAnsiTheme="majorHAnsi" w:cstheme="majorHAnsi"/>
          <w:sz w:val="24"/>
          <w:szCs w:val="24"/>
        </w:rPr>
        <w:t>non professionnel, plus protecteur.</w:t>
      </w:r>
    </w:p>
    <w:p w14:paraId="57427916"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L’article L. 533-16 du code monétaire et ﬁnancier déﬁnit </w:t>
      </w:r>
      <w:r w:rsidRPr="008354C2">
        <w:rPr>
          <w:rFonts w:asciiTheme="majorHAnsi" w:hAnsiTheme="majorHAnsi" w:cstheme="majorHAnsi"/>
          <w:b/>
          <w:bCs/>
          <w:sz w:val="24"/>
          <w:szCs w:val="24"/>
        </w:rPr>
        <w:t>le client professionnel comme un client qui possède l’expérience, les connaissances et la compétence nécessaires pour prendre ses propres décisions d’investissement et évaluer correctement les risques encourus</w:t>
      </w:r>
      <w:r w:rsidRPr="008354C2">
        <w:rPr>
          <w:rFonts w:asciiTheme="majorHAnsi" w:hAnsiTheme="majorHAnsi" w:cstheme="majorHAnsi"/>
          <w:sz w:val="24"/>
          <w:szCs w:val="24"/>
        </w:rPr>
        <w:t>. L’article D. 533-11 du code monétaire et ﬁnancier précise différentes typologies de clients professionnels :</w:t>
      </w:r>
    </w:p>
    <w:p w14:paraId="2C2C288B" w14:textId="77777777" w:rsidR="00C838AC" w:rsidRPr="008354C2" w:rsidRDefault="00C838AC" w:rsidP="007805CA">
      <w:pPr>
        <w:pStyle w:val="Standard"/>
        <w:numPr>
          <w:ilvl w:val="0"/>
          <w:numId w:val="11"/>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Les clients professionnels par nature</w:t>
      </w:r>
      <w:r w:rsidRPr="008354C2">
        <w:rPr>
          <w:rFonts w:asciiTheme="majorHAnsi" w:hAnsiTheme="majorHAnsi" w:cstheme="majorHAnsi"/>
          <w:sz w:val="24"/>
          <w:szCs w:val="24"/>
        </w:rPr>
        <w:t>, parmi lesquels on peut citer les établissements de crédit, les entreprises d’investissement, les entreprises d’assurance, les sociétés de gestion, certains fonds de réserve pour les retraites mais également l’État, la Caisse de la dette publique, la Banque de France, etc.</w:t>
      </w:r>
    </w:p>
    <w:p w14:paraId="351C3763" w14:textId="77777777" w:rsidR="00C838AC" w:rsidRPr="008354C2" w:rsidRDefault="00C838AC" w:rsidP="007805CA">
      <w:pPr>
        <w:pStyle w:val="Standard"/>
        <w:numPr>
          <w:ilvl w:val="0"/>
          <w:numId w:val="11"/>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Les clients professionnels par la taille</w:t>
      </w:r>
      <w:r w:rsidRPr="008354C2">
        <w:rPr>
          <w:rFonts w:asciiTheme="majorHAnsi" w:hAnsiTheme="majorHAnsi" w:cstheme="majorHAnsi"/>
          <w:sz w:val="24"/>
          <w:szCs w:val="24"/>
        </w:rPr>
        <w:t>, remplissant au moins deux des trois critères suivants :</w:t>
      </w:r>
    </w:p>
    <w:p w14:paraId="1685911B" w14:textId="77777777" w:rsidR="00C838AC" w:rsidRPr="008354C2" w:rsidRDefault="00C838AC" w:rsidP="007805CA">
      <w:pPr>
        <w:pStyle w:val="Standard"/>
        <w:numPr>
          <w:ilvl w:val="0"/>
          <w:numId w:val="12"/>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Total du bilan égal ou supérieur à 20 millions d’euros</w:t>
      </w:r>
      <w:r w:rsidRPr="008354C2">
        <w:rPr>
          <w:rFonts w:asciiTheme="majorHAnsi" w:hAnsiTheme="majorHAnsi" w:cstheme="majorHAnsi"/>
          <w:sz w:val="24"/>
          <w:szCs w:val="24"/>
        </w:rPr>
        <w:t xml:space="preserve"> ;</w:t>
      </w:r>
    </w:p>
    <w:p w14:paraId="1D1C7EDE" w14:textId="77777777" w:rsidR="00C838AC" w:rsidRPr="008354C2" w:rsidRDefault="00C838AC" w:rsidP="007805CA">
      <w:pPr>
        <w:pStyle w:val="Standard"/>
        <w:numPr>
          <w:ilvl w:val="0"/>
          <w:numId w:val="12"/>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Chiffre d’affaires net </w:t>
      </w:r>
      <w:r w:rsidRPr="008354C2">
        <w:rPr>
          <w:rFonts w:asciiTheme="majorHAnsi" w:hAnsiTheme="majorHAnsi" w:cstheme="majorHAnsi"/>
          <w:sz w:val="24"/>
          <w:szCs w:val="24"/>
        </w:rPr>
        <w:t xml:space="preserve">ou recettes nettes égaux ou supérieurs à </w:t>
      </w:r>
      <w:r w:rsidRPr="008354C2">
        <w:rPr>
          <w:rFonts w:asciiTheme="majorHAnsi" w:hAnsiTheme="majorHAnsi" w:cstheme="majorHAnsi"/>
          <w:b/>
          <w:bCs/>
          <w:sz w:val="24"/>
          <w:szCs w:val="24"/>
        </w:rPr>
        <w:t>40 millions d’euros</w:t>
      </w:r>
      <w:r w:rsidRPr="008354C2">
        <w:rPr>
          <w:rFonts w:asciiTheme="majorHAnsi" w:hAnsiTheme="majorHAnsi" w:cstheme="majorHAnsi"/>
          <w:sz w:val="24"/>
          <w:szCs w:val="24"/>
        </w:rPr>
        <w:t xml:space="preserve"> ;</w:t>
      </w:r>
    </w:p>
    <w:p w14:paraId="693BDE1E" w14:textId="77777777" w:rsidR="00C838AC" w:rsidRPr="008354C2" w:rsidRDefault="00C838AC" w:rsidP="007805CA">
      <w:pPr>
        <w:pStyle w:val="Standard"/>
        <w:numPr>
          <w:ilvl w:val="0"/>
          <w:numId w:val="12"/>
        </w:numPr>
        <w:spacing w:line="276" w:lineRule="auto"/>
        <w:jc w:val="both"/>
        <w:rPr>
          <w:rFonts w:asciiTheme="majorHAnsi" w:hAnsiTheme="majorHAnsi" w:cstheme="majorHAnsi"/>
          <w:sz w:val="24"/>
          <w:szCs w:val="24"/>
        </w:rPr>
      </w:pPr>
      <w:r w:rsidRPr="008354C2">
        <w:rPr>
          <w:rFonts w:asciiTheme="majorHAnsi" w:hAnsiTheme="majorHAnsi" w:cstheme="majorHAnsi"/>
          <w:b/>
          <w:sz w:val="24"/>
          <w:szCs w:val="24"/>
        </w:rPr>
        <w:t>Capitaux</w:t>
      </w:r>
      <w:r w:rsidRPr="008354C2">
        <w:rPr>
          <w:rFonts w:asciiTheme="majorHAnsi" w:hAnsiTheme="majorHAnsi" w:cstheme="majorHAnsi"/>
          <w:b/>
          <w:bCs/>
          <w:sz w:val="24"/>
          <w:szCs w:val="24"/>
        </w:rPr>
        <w:t xml:space="preserve"> propres égaux ou supérieurs à 2 millions d’euros</w:t>
      </w:r>
      <w:r w:rsidRPr="008354C2">
        <w:rPr>
          <w:rFonts w:asciiTheme="majorHAnsi" w:hAnsiTheme="majorHAnsi" w:cstheme="majorHAnsi"/>
          <w:sz w:val="24"/>
          <w:szCs w:val="24"/>
        </w:rPr>
        <w:t>.</w:t>
      </w:r>
    </w:p>
    <w:p w14:paraId="38C50C13" w14:textId="5BD2DD23" w:rsidR="00C838AC" w:rsidRPr="008354C2" w:rsidRDefault="00C838AC" w:rsidP="007805CA">
      <w:pPr>
        <w:pStyle w:val="Standard"/>
        <w:spacing w:line="276" w:lineRule="auto"/>
        <w:jc w:val="both"/>
        <w:rPr>
          <w:rFonts w:asciiTheme="majorHAnsi" w:hAnsiTheme="majorHAnsi" w:cstheme="majorHAnsi"/>
          <w:b/>
          <w:bCs/>
          <w:i/>
          <w:iCs/>
          <w:sz w:val="24"/>
          <w:szCs w:val="24"/>
        </w:rPr>
      </w:pPr>
      <w:r w:rsidRPr="008354C2">
        <w:rPr>
          <w:rFonts w:asciiTheme="majorHAnsi" w:hAnsiTheme="majorHAnsi" w:cstheme="majorHAnsi"/>
          <w:sz w:val="24"/>
          <w:szCs w:val="24"/>
        </w:rPr>
        <w:t xml:space="preserve">Les conséquences sont importantes notamment en termes (i) </w:t>
      </w:r>
      <w:r w:rsidRPr="008354C2">
        <w:rPr>
          <w:rFonts w:asciiTheme="majorHAnsi" w:hAnsiTheme="majorHAnsi" w:cstheme="majorHAnsi"/>
          <w:b/>
          <w:bCs/>
          <w:i/>
          <w:iCs/>
          <w:sz w:val="24"/>
          <w:szCs w:val="24"/>
        </w:rPr>
        <w:t>d'information à communiquer</w:t>
      </w:r>
      <w:r w:rsidRPr="008354C2">
        <w:rPr>
          <w:rFonts w:asciiTheme="majorHAnsi" w:hAnsiTheme="majorHAnsi" w:cstheme="majorHAnsi"/>
          <w:sz w:val="24"/>
          <w:szCs w:val="24"/>
        </w:rPr>
        <w:t xml:space="preserve"> au Client, (ii) </w:t>
      </w:r>
      <w:r w:rsidRPr="008354C2">
        <w:rPr>
          <w:rFonts w:asciiTheme="majorHAnsi" w:hAnsiTheme="majorHAnsi" w:cstheme="majorHAnsi"/>
          <w:b/>
          <w:bCs/>
          <w:i/>
          <w:iCs/>
          <w:sz w:val="24"/>
          <w:szCs w:val="24"/>
        </w:rPr>
        <w:t>d'évaluation de l'adéquation ou du caractère approprié du Service</w:t>
      </w:r>
      <w:r w:rsidRPr="008354C2">
        <w:rPr>
          <w:rFonts w:asciiTheme="majorHAnsi" w:hAnsiTheme="majorHAnsi" w:cstheme="majorHAnsi"/>
          <w:sz w:val="24"/>
          <w:szCs w:val="24"/>
        </w:rPr>
        <w:t xml:space="preserve"> à fournir au Client, (iii) d'information à communiquer au Client en matière de compte</w:t>
      </w:r>
      <w:r w:rsidR="00792F62">
        <w:rPr>
          <w:rFonts w:asciiTheme="majorHAnsi" w:hAnsiTheme="majorHAnsi" w:cstheme="majorHAnsi"/>
          <w:sz w:val="24"/>
          <w:szCs w:val="24"/>
        </w:rPr>
        <w:t>-</w:t>
      </w:r>
      <w:r w:rsidRPr="008354C2">
        <w:rPr>
          <w:rFonts w:asciiTheme="majorHAnsi" w:hAnsiTheme="majorHAnsi" w:cstheme="majorHAnsi"/>
          <w:sz w:val="24"/>
          <w:szCs w:val="24"/>
        </w:rPr>
        <w:t>rendu relatif à un Service, (iv) d'obligation d'agir au mieux des intérêts du Client lors de la transmission, de l'exécution et/ou du traitement de ses ordres, ou (v) de</w:t>
      </w:r>
      <w:r w:rsidRPr="008354C2">
        <w:rPr>
          <w:rFonts w:asciiTheme="majorHAnsi" w:hAnsiTheme="majorHAnsi" w:cstheme="majorHAnsi"/>
          <w:b/>
          <w:bCs/>
          <w:i/>
          <w:iCs/>
          <w:sz w:val="24"/>
          <w:szCs w:val="24"/>
        </w:rPr>
        <w:t xml:space="preserve"> contractualisation des relations entre les Parties.</w:t>
      </w:r>
    </w:p>
    <w:p w14:paraId="7A6D134F" w14:textId="77777777" w:rsidR="00C838AC" w:rsidRPr="008354C2" w:rsidRDefault="00C838AC" w:rsidP="007805CA">
      <w:pPr>
        <w:spacing w:line="276" w:lineRule="auto"/>
        <w:rPr>
          <w:rFonts w:asciiTheme="majorHAnsi" w:hAnsiTheme="majorHAnsi" w:cstheme="majorHAnsi"/>
        </w:rPr>
      </w:pPr>
      <w:r w:rsidRPr="008354C2">
        <w:rPr>
          <w:rFonts w:asciiTheme="majorHAnsi" w:hAnsiTheme="majorHAnsi" w:cstheme="majorHAnsi"/>
        </w:rPr>
        <w:br w:type="page"/>
      </w:r>
    </w:p>
    <w:p w14:paraId="571B7A89" w14:textId="5438CD88" w:rsidR="003321F4" w:rsidRPr="00B00EE9" w:rsidRDefault="008C7F6F" w:rsidP="00AA2C07">
      <w:pPr>
        <w:pStyle w:val="Sansinterligne"/>
      </w:pPr>
      <w:r w:rsidRPr="00B00EE9">
        <w:lastRenderedPageBreak/>
        <w:t>Attention !</w:t>
      </w:r>
    </w:p>
    <w:p w14:paraId="4FD88D46" w14:textId="77777777" w:rsidR="0065204C" w:rsidRPr="008661D7" w:rsidRDefault="008C7F6F" w:rsidP="00AA2C07">
      <w:pPr>
        <w:pStyle w:val="Paragraphedeliste"/>
        <w:numPr>
          <w:ilvl w:val="0"/>
          <w:numId w:val="42"/>
        </w:numPr>
      </w:pPr>
      <w:r w:rsidRPr="003321F4">
        <w:t xml:space="preserve">Bien que ces seuils soient élevés, </w:t>
      </w:r>
      <w:r w:rsidRPr="00B50795">
        <w:rPr>
          <w:b/>
        </w:rPr>
        <w:t>certains O</w:t>
      </w:r>
      <w:r w:rsidR="005D3EF2" w:rsidRPr="00B50795">
        <w:rPr>
          <w:b/>
        </w:rPr>
        <w:t>gec</w:t>
      </w:r>
      <w:r w:rsidRPr="00B50795">
        <w:rPr>
          <w:b/>
        </w:rPr>
        <w:t xml:space="preserve"> peuvent franchir deux des trois seuils</w:t>
      </w:r>
      <w:r w:rsidRPr="003321F4">
        <w:t xml:space="preserve"> (total de bilan et fonds propres). </w:t>
      </w:r>
      <w:r w:rsidRPr="008661D7">
        <w:t xml:space="preserve">Il leur est vivement recommandé de </w:t>
      </w:r>
      <w:r w:rsidRPr="00B50795">
        <w:rPr>
          <w:b/>
        </w:rPr>
        <w:t>se faire catégoriser en non-professionnels.</w:t>
      </w:r>
      <w:r w:rsidRPr="008661D7">
        <w:t xml:space="preserve"> </w:t>
      </w:r>
    </w:p>
    <w:p w14:paraId="2602ECD3" w14:textId="77777777" w:rsidR="00A71C0C" w:rsidRDefault="008C7F6F" w:rsidP="00AA2C07">
      <w:pPr>
        <w:pStyle w:val="Paragraphedeliste"/>
        <w:numPr>
          <w:ilvl w:val="0"/>
          <w:numId w:val="42"/>
        </w:numPr>
      </w:pPr>
      <w:r w:rsidRPr="003321F4">
        <w:t xml:space="preserve">Un </w:t>
      </w:r>
      <w:r w:rsidR="0065204C">
        <w:t>c</w:t>
      </w:r>
      <w:r w:rsidRPr="003321F4">
        <w:t xml:space="preserve">lient </w:t>
      </w:r>
      <w:r w:rsidR="00087F42">
        <w:t>n</w:t>
      </w:r>
      <w:r w:rsidRPr="003321F4">
        <w:t>on</w:t>
      </w:r>
      <w:r w:rsidR="005D3EF2">
        <w:t>-</w:t>
      </w:r>
      <w:r w:rsidR="00087F42">
        <w:t>p</w:t>
      </w:r>
      <w:r w:rsidRPr="003321F4">
        <w:t xml:space="preserve">rofessionnel reçoit de la part de la </w:t>
      </w:r>
      <w:r w:rsidR="00087F42">
        <w:t>b</w:t>
      </w:r>
      <w:r w:rsidRPr="003321F4">
        <w:t xml:space="preserve">anque une </w:t>
      </w:r>
      <w:r w:rsidRPr="0065204C">
        <w:rPr>
          <w:b/>
        </w:rPr>
        <w:t>protection plus étendue</w:t>
      </w:r>
      <w:r w:rsidRPr="003321F4">
        <w:t xml:space="preserve"> qu'un </w:t>
      </w:r>
      <w:r w:rsidR="00087F42">
        <w:t>c</w:t>
      </w:r>
      <w:r w:rsidRPr="003321F4">
        <w:t xml:space="preserve">lient </w:t>
      </w:r>
      <w:r w:rsidR="00087F42">
        <w:t>p</w:t>
      </w:r>
      <w:r w:rsidRPr="003321F4">
        <w:t>rofessionnel</w:t>
      </w:r>
      <w:r w:rsidR="00A71C0C">
        <w:t>.</w:t>
      </w:r>
    </w:p>
    <w:p w14:paraId="7BB28D94" w14:textId="4DB6AD61" w:rsidR="008C7F6F" w:rsidRPr="003321F4" w:rsidRDefault="00C964E3" w:rsidP="00AA2C07">
      <w:pPr>
        <w:pStyle w:val="Paragraphedeliste"/>
        <w:numPr>
          <w:ilvl w:val="0"/>
          <w:numId w:val="42"/>
        </w:numPr>
      </w:pPr>
      <w:r w:rsidRPr="003321F4">
        <w:t xml:space="preserve">Le </w:t>
      </w:r>
      <w:r w:rsidR="00734679">
        <w:t>c</w:t>
      </w:r>
      <w:r w:rsidR="008C7F6F" w:rsidRPr="003321F4">
        <w:t xml:space="preserve">lient </w:t>
      </w:r>
      <w:r w:rsidR="00734679">
        <w:t>p</w:t>
      </w:r>
      <w:r w:rsidR="008C7F6F" w:rsidRPr="003321F4">
        <w:t xml:space="preserve">rofessionnel demande à la </w:t>
      </w:r>
      <w:r w:rsidR="00734679">
        <w:t>b</w:t>
      </w:r>
      <w:r w:rsidR="008C7F6F" w:rsidRPr="003321F4">
        <w:t xml:space="preserve">anque un classement en </w:t>
      </w:r>
      <w:r w:rsidR="00734679">
        <w:t>c</w:t>
      </w:r>
      <w:r w:rsidR="008C7F6F" w:rsidRPr="003321F4">
        <w:t xml:space="preserve">lient </w:t>
      </w:r>
      <w:r w:rsidR="00734679">
        <w:t>n</w:t>
      </w:r>
      <w:r w:rsidR="008C7F6F" w:rsidRPr="003321F4">
        <w:t>on</w:t>
      </w:r>
      <w:r w:rsidR="00734679">
        <w:t>-p</w:t>
      </w:r>
      <w:r w:rsidR="008C7F6F" w:rsidRPr="003321F4">
        <w:t>rofessionnel s'il estime ne pas être en mesure d'évaluer ou de gérer de manière satisfaisante les risques auxquels il est susceptible de s'exposer, ce qui est le cas de la majorité des O</w:t>
      </w:r>
      <w:r w:rsidR="00734679">
        <w:t>gec</w:t>
      </w:r>
      <w:r w:rsidR="008C7F6F" w:rsidRPr="003321F4">
        <w:t>.</w:t>
      </w:r>
    </w:p>
    <w:p w14:paraId="458AB8CE" w14:textId="2B1DC85D" w:rsidR="00C838AC" w:rsidRPr="003321F4" w:rsidRDefault="008C7F6F" w:rsidP="00AA2C07">
      <w:pPr>
        <w:pStyle w:val="Paragraphedeliste"/>
        <w:numPr>
          <w:ilvl w:val="0"/>
          <w:numId w:val="42"/>
        </w:numPr>
      </w:pPr>
      <w:r w:rsidRPr="003321F4">
        <w:t xml:space="preserve">Enfin, il convient de ne pas oublier que la trésorerie dont on parle ici provient de </w:t>
      </w:r>
      <w:r w:rsidRPr="00734679">
        <w:rPr>
          <w:b/>
        </w:rPr>
        <w:t>l'argent des familles</w:t>
      </w:r>
      <w:r w:rsidRPr="003321F4">
        <w:t xml:space="preserve"> qui nous ont confié leur(s) enfant(s), certainement pas à des fins spéculatives.</w:t>
      </w:r>
    </w:p>
    <w:p w14:paraId="04494D87" w14:textId="77777777" w:rsidR="00C838AC" w:rsidRPr="008354C2" w:rsidRDefault="00C838AC" w:rsidP="007805CA">
      <w:pPr>
        <w:spacing w:line="276" w:lineRule="auto"/>
        <w:rPr>
          <w:rFonts w:asciiTheme="majorHAnsi" w:hAnsiTheme="majorHAnsi" w:cstheme="majorHAnsi"/>
          <w:b/>
          <w:color w:val="0000FF"/>
        </w:rPr>
      </w:pPr>
      <w:r w:rsidRPr="008354C2">
        <w:rPr>
          <w:rFonts w:asciiTheme="majorHAnsi" w:hAnsiTheme="majorHAnsi" w:cstheme="majorHAnsi"/>
          <w:b/>
          <w:color w:val="0000FF"/>
        </w:rPr>
        <w:br w:type="page"/>
      </w:r>
    </w:p>
    <w:p w14:paraId="0B2FDC5C" w14:textId="77777777" w:rsidR="00C838AC" w:rsidRPr="006E1400" w:rsidRDefault="00C838AC" w:rsidP="006E1400">
      <w:pPr>
        <w:pStyle w:val="Sansinterligne"/>
        <w:ind w:left="0"/>
      </w:pPr>
      <w:r w:rsidRPr="006E1400">
        <w:lastRenderedPageBreak/>
        <w:t>1. LE PROCESSUS DE PLACEMENT DE LA TRESORERIE EXCEDENTAIRE</w:t>
      </w:r>
    </w:p>
    <w:p w14:paraId="46255E42" w14:textId="5E71A8A5" w:rsidR="00C838AC" w:rsidRPr="008354C2" w:rsidRDefault="00C838AC" w:rsidP="003031D1">
      <w:pPr>
        <w:pStyle w:val="Titre1"/>
      </w:pPr>
      <w:r w:rsidRPr="008354C2">
        <w:t>1.1. Faire le point avant d’investir</w:t>
      </w:r>
      <w:r w:rsidR="003A3F95">
        <w:t> :</w:t>
      </w:r>
    </w:p>
    <w:p w14:paraId="229DE398" w14:textId="63AA425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Les O</w:t>
      </w:r>
      <w:r w:rsidR="002B1271">
        <w:rPr>
          <w:rFonts w:asciiTheme="majorHAnsi" w:hAnsiTheme="majorHAnsi" w:cstheme="majorHAnsi"/>
          <w:sz w:val="24"/>
          <w:szCs w:val="24"/>
        </w:rPr>
        <w:t>gec</w:t>
      </w:r>
      <w:r w:rsidRPr="008354C2">
        <w:rPr>
          <w:rFonts w:asciiTheme="majorHAnsi" w:hAnsiTheme="majorHAnsi" w:cstheme="majorHAnsi"/>
          <w:sz w:val="24"/>
          <w:szCs w:val="24"/>
        </w:rPr>
        <w:t xml:space="preserve"> n’ont, dans l’absolu, nullement vocation à disposer d’une trésorerie pléthorique. Celle-ci doit permettre de faire face sereinement au fonctionnement courant (d’où la préconisation d’un niveau de fonds de roulement de l’ordre de 3 à 4 mois de charges). Au-delà, elle doit permettre de préparer les investissements futurs au service des jeunes et du projet éducatif.</w:t>
      </w:r>
    </w:p>
    <w:p w14:paraId="1E30FAFD"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 premier objectif est donc </w:t>
      </w:r>
      <w:r w:rsidRPr="008354C2">
        <w:rPr>
          <w:rFonts w:asciiTheme="majorHAnsi" w:hAnsiTheme="majorHAnsi" w:cstheme="majorHAnsi"/>
          <w:b/>
          <w:sz w:val="24"/>
          <w:szCs w:val="24"/>
        </w:rPr>
        <w:t xml:space="preserve">d’optimiser la gestion de la trésorerie </w:t>
      </w:r>
      <w:r w:rsidRPr="008354C2">
        <w:rPr>
          <w:rFonts w:asciiTheme="majorHAnsi" w:hAnsiTheme="majorHAnsi" w:cstheme="majorHAnsi"/>
          <w:b/>
          <w:sz w:val="24"/>
          <w:szCs w:val="24"/>
          <w:u w:val="single"/>
        </w:rPr>
        <w:t>à court terme</w:t>
      </w:r>
      <w:r w:rsidRPr="008354C2">
        <w:rPr>
          <w:rFonts w:asciiTheme="majorHAnsi" w:hAnsiTheme="majorHAnsi" w:cstheme="majorHAnsi"/>
          <w:sz w:val="24"/>
          <w:szCs w:val="24"/>
        </w:rPr>
        <w:t xml:space="preserve">. Il s’agit ici de </w:t>
      </w:r>
      <w:r w:rsidRPr="008354C2">
        <w:rPr>
          <w:rFonts w:asciiTheme="majorHAnsi" w:hAnsiTheme="majorHAnsi" w:cstheme="majorHAnsi"/>
          <w:b/>
          <w:bCs/>
          <w:sz w:val="24"/>
          <w:szCs w:val="24"/>
        </w:rPr>
        <w:t>piloter le décalage de temps</w:t>
      </w:r>
      <w:r w:rsidRPr="008354C2">
        <w:rPr>
          <w:rFonts w:asciiTheme="majorHAnsi" w:hAnsiTheme="majorHAnsi" w:cstheme="majorHAnsi"/>
          <w:sz w:val="24"/>
          <w:szCs w:val="24"/>
        </w:rPr>
        <w:t xml:space="preserve"> entre la perception de certaines ressources (contributions des familles, forfaits d’externat, dons, subventions) et le cycle des dépenses tout au long de l’exercice. Pour ce faire, la mission première de la / des personne(s) en charge de la gestion de la trésorerie est de veiller à la </w:t>
      </w:r>
      <w:r w:rsidRPr="008354C2">
        <w:rPr>
          <w:rFonts w:asciiTheme="majorHAnsi" w:hAnsiTheme="majorHAnsi" w:cstheme="majorHAnsi"/>
          <w:b/>
          <w:sz w:val="24"/>
          <w:szCs w:val="24"/>
          <w:u w:val="single"/>
        </w:rPr>
        <w:t>liquidité</w:t>
      </w:r>
      <w:r w:rsidRPr="008354C2">
        <w:rPr>
          <w:rFonts w:asciiTheme="majorHAnsi" w:hAnsiTheme="majorHAnsi" w:cstheme="majorHAnsi"/>
          <w:sz w:val="24"/>
          <w:szCs w:val="24"/>
        </w:rPr>
        <w:t xml:space="preserve"> des supports d’investissement.</w:t>
      </w:r>
    </w:p>
    <w:p w14:paraId="58197B4C" w14:textId="18D71E10"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On distinguera seulement ensuite (si la taille de l’O</w:t>
      </w:r>
      <w:r w:rsidR="00192A1D">
        <w:rPr>
          <w:rFonts w:asciiTheme="majorHAnsi" w:hAnsiTheme="majorHAnsi" w:cstheme="majorHAnsi"/>
          <w:sz w:val="24"/>
          <w:szCs w:val="24"/>
        </w:rPr>
        <w:t>gec</w:t>
      </w:r>
      <w:r w:rsidRPr="008354C2">
        <w:rPr>
          <w:rFonts w:asciiTheme="majorHAnsi" w:hAnsiTheme="majorHAnsi" w:cstheme="majorHAnsi"/>
          <w:sz w:val="24"/>
          <w:szCs w:val="24"/>
        </w:rPr>
        <w:t xml:space="preserve"> et ses ressources le justifient) </w:t>
      </w:r>
      <w:r w:rsidRPr="008354C2">
        <w:rPr>
          <w:rFonts w:asciiTheme="majorHAnsi" w:hAnsiTheme="majorHAnsi" w:cstheme="majorHAnsi"/>
          <w:b/>
          <w:sz w:val="24"/>
          <w:szCs w:val="24"/>
          <w:u w:val="single"/>
        </w:rPr>
        <w:t>la trésorerie « courte » et la « trésorerie » longue</w:t>
      </w:r>
      <w:r w:rsidRPr="008354C2">
        <w:rPr>
          <w:rFonts w:asciiTheme="majorHAnsi" w:hAnsiTheme="majorHAnsi" w:cstheme="majorHAnsi"/>
          <w:b/>
          <w:sz w:val="24"/>
          <w:szCs w:val="24"/>
        </w:rPr>
        <w:t>.</w:t>
      </w:r>
    </w:p>
    <w:p w14:paraId="649C0612"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La </w:t>
      </w:r>
      <w:r w:rsidRPr="008354C2">
        <w:rPr>
          <w:rFonts w:asciiTheme="majorHAnsi" w:hAnsiTheme="majorHAnsi" w:cstheme="majorHAnsi"/>
          <w:b/>
          <w:bCs/>
          <w:sz w:val="24"/>
          <w:szCs w:val="24"/>
        </w:rPr>
        <w:t>trésorerie « courte »</w:t>
      </w:r>
      <w:r w:rsidRPr="008354C2">
        <w:rPr>
          <w:rFonts w:asciiTheme="majorHAnsi" w:hAnsiTheme="majorHAnsi" w:cstheme="majorHAnsi"/>
          <w:sz w:val="24"/>
          <w:szCs w:val="24"/>
        </w:rPr>
        <w:t xml:space="preserve"> est généralement placée sur des supports comme les comptes à vue, les </w:t>
      </w:r>
      <w:r w:rsidRPr="008354C2">
        <w:rPr>
          <w:rFonts w:asciiTheme="majorHAnsi" w:hAnsiTheme="majorHAnsi" w:cstheme="majorHAnsi"/>
          <w:b/>
          <w:bCs/>
          <w:sz w:val="24"/>
          <w:szCs w:val="24"/>
        </w:rPr>
        <w:t>comptes sur livret, les livrets A, les livrets B, les comptes à terme,</w:t>
      </w:r>
      <w:r w:rsidRPr="008354C2">
        <w:rPr>
          <w:rFonts w:asciiTheme="majorHAnsi" w:hAnsiTheme="majorHAnsi" w:cstheme="majorHAnsi"/>
          <w:sz w:val="24"/>
          <w:szCs w:val="24"/>
        </w:rPr>
        <w:t xml:space="preserve"> </w:t>
      </w:r>
      <w:r w:rsidRPr="008354C2">
        <w:rPr>
          <w:rFonts w:asciiTheme="majorHAnsi" w:hAnsiTheme="majorHAnsi" w:cstheme="majorHAnsi"/>
          <w:b/>
          <w:bCs/>
          <w:sz w:val="24"/>
          <w:szCs w:val="24"/>
        </w:rPr>
        <w:t>les OPC monétaires court terme.</w:t>
      </w:r>
    </w:p>
    <w:p w14:paraId="50A1DD38" w14:textId="454D7F90"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S’agissant de la gestion de la trésorerie </w:t>
      </w:r>
      <w:r w:rsidR="004D731F">
        <w:rPr>
          <w:rFonts w:asciiTheme="majorHAnsi" w:hAnsiTheme="majorHAnsi" w:cstheme="majorHAnsi"/>
          <w:b/>
          <w:bCs/>
          <w:sz w:val="24"/>
          <w:szCs w:val="24"/>
        </w:rPr>
        <w:t>« </w:t>
      </w:r>
      <w:r w:rsidRPr="008354C2">
        <w:rPr>
          <w:rFonts w:asciiTheme="majorHAnsi" w:hAnsiTheme="majorHAnsi" w:cstheme="majorHAnsi"/>
          <w:b/>
          <w:bCs/>
          <w:sz w:val="24"/>
          <w:szCs w:val="24"/>
        </w:rPr>
        <w:t>longue</w:t>
      </w:r>
      <w:r w:rsidR="004D731F">
        <w:rPr>
          <w:rFonts w:asciiTheme="majorHAnsi" w:hAnsiTheme="majorHAnsi" w:cstheme="majorHAnsi"/>
          <w:b/>
          <w:bCs/>
          <w:sz w:val="24"/>
          <w:szCs w:val="24"/>
        </w:rPr>
        <w:t> »</w:t>
      </w:r>
      <w:r w:rsidRPr="008354C2">
        <w:rPr>
          <w:rFonts w:asciiTheme="majorHAnsi" w:hAnsiTheme="majorHAnsi" w:cstheme="majorHAnsi"/>
          <w:sz w:val="24"/>
          <w:szCs w:val="24"/>
        </w:rPr>
        <w:t xml:space="preserve">, l’approche retenue sera différente selon qu’elle constitue une </w:t>
      </w:r>
      <w:r w:rsidR="004D731F">
        <w:rPr>
          <w:rFonts w:asciiTheme="majorHAnsi" w:hAnsiTheme="majorHAnsi" w:cstheme="majorHAnsi"/>
          <w:sz w:val="24"/>
          <w:szCs w:val="24"/>
        </w:rPr>
        <w:t>« </w:t>
      </w:r>
      <w:r w:rsidRPr="008354C2">
        <w:rPr>
          <w:rFonts w:asciiTheme="majorHAnsi" w:hAnsiTheme="majorHAnsi" w:cstheme="majorHAnsi"/>
          <w:sz w:val="24"/>
          <w:szCs w:val="24"/>
        </w:rPr>
        <w:t>réserve stratégique</w:t>
      </w:r>
      <w:r w:rsidR="00C604CD">
        <w:rPr>
          <w:rFonts w:asciiTheme="majorHAnsi" w:hAnsiTheme="majorHAnsi" w:cstheme="majorHAnsi"/>
          <w:sz w:val="24"/>
          <w:szCs w:val="24"/>
        </w:rPr>
        <w:t> »</w:t>
      </w:r>
      <w:r w:rsidRPr="008354C2">
        <w:rPr>
          <w:rFonts w:asciiTheme="majorHAnsi" w:hAnsiTheme="majorHAnsi" w:cstheme="majorHAnsi"/>
          <w:sz w:val="24"/>
          <w:szCs w:val="24"/>
        </w:rPr>
        <w:t xml:space="preserve"> de liquidité (</w:t>
      </w:r>
      <w:r w:rsidRPr="008354C2">
        <w:rPr>
          <w:rFonts w:asciiTheme="majorHAnsi" w:hAnsiTheme="majorHAnsi" w:cstheme="majorHAnsi"/>
          <w:b/>
          <w:bCs/>
          <w:i/>
          <w:iCs/>
          <w:sz w:val="24"/>
          <w:szCs w:val="24"/>
        </w:rPr>
        <w:t>en vue d’un investissement défini à horizon fixé</w:t>
      </w:r>
      <w:r w:rsidRPr="008354C2">
        <w:rPr>
          <w:rFonts w:asciiTheme="majorHAnsi" w:hAnsiTheme="majorHAnsi" w:cstheme="majorHAnsi"/>
          <w:sz w:val="24"/>
          <w:szCs w:val="24"/>
        </w:rPr>
        <w:t xml:space="preserve">) ou un instrument </w:t>
      </w:r>
      <w:r w:rsidRPr="008354C2">
        <w:rPr>
          <w:rFonts w:asciiTheme="majorHAnsi" w:hAnsiTheme="majorHAnsi" w:cstheme="majorHAnsi"/>
          <w:b/>
          <w:bCs/>
          <w:i/>
          <w:iCs/>
          <w:sz w:val="24"/>
          <w:szCs w:val="24"/>
        </w:rPr>
        <w:t>d'optimisation</w:t>
      </w:r>
      <w:r w:rsidRPr="008354C2">
        <w:rPr>
          <w:rFonts w:asciiTheme="majorHAnsi" w:hAnsiTheme="majorHAnsi" w:cstheme="majorHAnsi"/>
          <w:sz w:val="24"/>
          <w:szCs w:val="24"/>
        </w:rPr>
        <w:t xml:space="preserve"> des ressources :</w:t>
      </w:r>
    </w:p>
    <w:p w14:paraId="6CB090C5" w14:textId="77777777" w:rsidR="00C838AC" w:rsidRPr="008354C2" w:rsidRDefault="00C838AC" w:rsidP="00F80004">
      <w:pPr>
        <w:pStyle w:val="Standard"/>
        <w:numPr>
          <w:ilvl w:val="0"/>
          <w:numId w:val="13"/>
        </w:numPr>
        <w:spacing w:line="276" w:lineRule="auto"/>
        <w:ind w:left="714" w:hanging="357"/>
        <w:jc w:val="both"/>
        <w:rPr>
          <w:rFonts w:asciiTheme="majorHAnsi" w:hAnsiTheme="majorHAnsi" w:cstheme="majorHAnsi"/>
          <w:sz w:val="24"/>
          <w:szCs w:val="24"/>
        </w:rPr>
      </w:pPr>
      <w:r w:rsidRPr="008354C2">
        <w:rPr>
          <w:rFonts w:asciiTheme="majorHAnsi" w:hAnsiTheme="majorHAnsi" w:cstheme="majorHAnsi"/>
          <w:sz w:val="24"/>
          <w:szCs w:val="24"/>
        </w:rPr>
        <w:t xml:space="preserve">Dans le premier cas, cette trésorerie sera gérée </w:t>
      </w:r>
      <w:r w:rsidRPr="008354C2">
        <w:rPr>
          <w:rFonts w:asciiTheme="majorHAnsi" w:hAnsiTheme="majorHAnsi" w:cstheme="majorHAnsi"/>
          <w:b/>
          <w:bCs/>
          <w:sz w:val="24"/>
          <w:szCs w:val="24"/>
        </w:rPr>
        <w:t>de manière sécurisée</w:t>
      </w:r>
      <w:r w:rsidRPr="008354C2">
        <w:rPr>
          <w:rFonts w:asciiTheme="majorHAnsi" w:hAnsiTheme="majorHAnsi" w:cstheme="majorHAnsi"/>
          <w:sz w:val="24"/>
          <w:szCs w:val="24"/>
        </w:rPr>
        <w:t xml:space="preserve"> via des dépôts à terme, des bons du Trésor ou des OPC monétaires moyen terme, par exemple ;</w:t>
      </w:r>
    </w:p>
    <w:p w14:paraId="4CAED731" w14:textId="77777777" w:rsidR="00C838AC" w:rsidRPr="008354C2" w:rsidRDefault="00C838AC" w:rsidP="007805CA">
      <w:pPr>
        <w:pStyle w:val="Standard"/>
        <w:numPr>
          <w:ilvl w:val="0"/>
          <w:numId w:val="13"/>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 second cas peut permettre d'envisager une gestion plus dynamique.</w:t>
      </w:r>
    </w:p>
    <w:p w14:paraId="6A8255EE" w14:textId="2A6E10DB" w:rsidR="00C838AC" w:rsidRPr="008354C2" w:rsidRDefault="00C838AC" w:rsidP="007805CA">
      <w:pPr>
        <w:pStyle w:val="Standard"/>
        <w:spacing w:line="276" w:lineRule="auto"/>
        <w:rPr>
          <w:rFonts w:asciiTheme="majorHAnsi" w:hAnsiTheme="majorHAnsi" w:cstheme="majorHAnsi"/>
          <w:sz w:val="24"/>
          <w:szCs w:val="24"/>
        </w:rPr>
      </w:pPr>
      <w:r w:rsidRPr="008354C2">
        <w:rPr>
          <w:rFonts w:asciiTheme="majorHAnsi" w:hAnsiTheme="majorHAnsi" w:cstheme="majorHAnsi"/>
          <w:sz w:val="24"/>
          <w:szCs w:val="24"/>
        </w:rPr>
        <w:t xml:space="preserve">Il est nécessaire de </w:t>
      </w:r>
      <w:r w:rsidRPr="008354C2">
        <w:rPr>
          <w:rFonts w:asciiTheme="majorHAnsi" w:hAnsiTheme="majorHAnsi" w:cstheme="majorHAnsi"/>
          <w:b/>
          <w:sz w:val="24"/>
          <w:szCs w:val="24"/>
        </w:rPr>
        <w:t>formaliser</w:t>
      </w:r>
      <w:r w:rsidRPr="008354C2">
        <w:rPr>
          <w:rFonts w:asciiTheme="majorHAnsi" w:hAnsiTheme="majorHAnsi" w:cstheme="majorHAnsi"/>
          <w:sz w:val="24"/>
          <w:szCs w:val="24"/>
        </w:rPr>
        <w:t xml:space="preserve"> </w:t>
      </w:r>
      <w:r w:rsidRPr="008354C2">
        <w:rPr>
          <w:rFonts w:asciiTheme="majorHAnsi" w:hAnsiTheme="majorHAnsi" w:cstheme="majorHAnsi"/>
          <w:b/>
          <w:sz w:val="24"/>
          <w:szCs w:val="24"/>
        </w:rPr>
        <w:t>une politique de placement</w:t>
      </w:r>
      <w:r w:rsidRPr="008354C2">
        <w:rPr>
          <w:rFonts w:asciiTheme="majorHAnsi" w:hAnsiTheme="majorHAnsi" w:cstheme="majorHAnsi"/>
          <w:b/>
          <w:bCs/>
          <w:sz w:val="24"/>
          <w:szCs w:val="24"/>
        </w:rPr>
        <w:t xml:space="preserve"> validée par le conseil d’administration de l’O</w:t>
      </w:r>
      <w:r w:rsidR="00B2677A">
        <w:rPr>
          <w:rFonts w:asciiTheme="majorHAnsi" w:hAnsiTheme="majorHAnsi" w:cstheme="majorHAnsi"/>
          <w:b/>
          <w:bCs/>
          <w:sz w:val="24"/>
          <w:szCs w:val="24"/>
        </w:rPr>
        <w:t>gec</w:t>
      </w:r>
      <w:r w:rsidRPr="008354C2">
        <w:rPr>
          <w:rFonts w:asciiTheme="majorHAnsi" w:hAnsiTheme="majorHAnsi" w:cstheme="majorHAnsi"/>
          <w:b/>
          <w:bCs/>
          <w:sz w:val="24"/>
          <w:szCs w:val="24"/>
        </w:rPr>
        <w:t xml:space="preserve">. </w:t>
      </w:r>
      <w:r w:rsidRPr="008354C2">
        <w:rPr>
          <w:rFonts w:asciiTheme="majorHAnsi" w:hAnsiTheme="majorHAnsi" w:cstheme="majorHAnsi"/>
          <w:sz w:val="24"/>
          <w:szCs w:val="24"/>
        </w:rPr>
        <w:t>Ce document précisera notamment :</w:t>
      </w:r>
    </w:p>
    <w:p w14:paraId="25277137" w14:textId="77777777" w:rsidR="00C838AC" w:rsidRPr="008354C2" w:rsidRDefault="00C838AC" w:rsidP="00F80004">
      <w:pPr>
        <w:pStyle w:val="Standard"/>
        <w:numPr>
          <w:ilvl w:val="0"/>
          <w:numId w:val="14"/>
        </w:numPr>
        <w:spacing w:after="80" w:line="276" w:lineRule="auto"/>
        <w:ind w:left="714" w:hanging="357"/>
        <w:rPr>
          <w:rFonts w:asciiTheme="majorHAnsi" w:hAnsiTheme="majorHAnsi" w:cstheme="majorHAnsi"/>
          <w:sz w:val="24"/>
          <w:szCs w:val="24"/>
        </w:rPr>
      </w:pPr>
      <w:r w:rsidRPr="008354C2">
        <w:rPr>
          <w:rFonts w:asciiTheme="majorHAnsi" w:hAnsiTheme="majorHAnsi" w:cstheme="majorHAnsi"/>
          <w:sz w:val="24"/>
          <w:szCs w:val="24"/>
        </w:rPr>
        <w:t xml:space="preserve">Les </w:t>
      </w:r>
      <w:r w:rsidRPr="008354C2">
        <w:rPr>
          <w:rFonts w:asciiTheme="majorHAnsi" w:hAnsiTheme="majorHAnsi" w:cstheme="majorHAnsi"/>
          <w:b/>
          <w:sz w:val="24"/>
          <w:szCs w:val="24"/>
        </w:rPr>
        <w:t>objectifs</w:t>
      </w:r>
      <w:r w:rsidRPr="008354C2">
        <w:rPr>
          <w:rFonts w:asciiTheme="majorHAnsi" w:hAnsiTheme="majorHAnsi" w:cstheme="majorHAnsi"/>
          <w:sz w:val="24"/>
          <w:szCs w:val="24"/>
        </w:rPr>
        <w:t xml:space="preserve"> de la gestion ﬁnancière de l’association ;</w:t>
      </w:r>
    </w:p>
    <w:p w14:paraId="752F1814" w14:textId="77777777" w:rsidR="00C838AC" w:rsidRPr="008354C2" w:rsidRDefault="00C838AC" w:rsidP="00F80004">
      <w:pPr>
        <w:pStyle w:val="Standard"/>
        <w:numPr>
          <w:ilvl w:val="0"/>
          <w:numId w:val="14"/>
        </w:numPr>
        <w:spacing w:after="80" w:line="276" w:lineRule="auto"/>
        <w:ind w:left="714" w:hanging="357"/>
        <w:rPr>
          <w:rFonts w:asciiTheme="majorHAnsi" w:hAnsiTheme="majorHAnsi" w:cstheme="majorHAnsi"/>
          <w:sz w:val="24"/>
          <w:szCs w:val="24"/>
        </w:rPr>
      </w:pPr>
      <w:r w:rsidRPr="008354C2">
        <w:rPr>
          <w:rFonts w:asciiTheme="majorHAnsi" w:hAnsiTheme="majorHAnsi" w:cstheme="majorHAnsi"/>
          <w:sz w:val="24"/>
          <w:szCs w:val="24"/>
        </w:rPr>
        <w:t xml:space="preserve">Le </w:t>
      </w:r>
      <w:r w:rsidRPr="008354C2">
        <w:rPr>
          <w:rFonts w:asciiTheme="majorHAnsi" w:hAnsiTheme="majorHAnsi" w:cstheme="majorHAnsi"/>
          <w:b/>
          <w:sz w:val="24"/>
          <w:szCs w:val="24"/>
        </w:rPr>
        <w:t>rendement cible des capitaux placés</w:t>
      </w:r>
      <w:r w:rsidRPr="008354C2">
        <w:rPr>
          <w:rFonts w:asciiTheme="majorHAnsi" w:hAnsiTheme="majorHAnsi" w:cstheme="majorHAnsi"/>
          <w:sz w:val="24"/>
          <w:szCs w:val="24"/>
        </w:rPr>
        <w:t xml:space="preserve"> ainsi que </w:t>
      </w:r>
      <w:r w:rsidRPr="008354C2">
        <w:rPr>
          <w:rFonts w:asciiTheme="majorHAnsi" w:hAnsiTheme="majorHAnsi" w:cstheme="majorHAnsi"/>
          <w:b/>
          <w:sz w:val="24"/>
          <w:szCs w:val="24"/>
        </w:rPr>
        <w:t>l’échéance considérée</w:t>
      </w:r>
      <w:r w:rsidRPr="008354C2">
        <w:rPr>
          <w:rFonts w:asciiTheme="majorHAnsi" w:hAnsiTheme="majorHAnsi" w:cstheme="majorHAnsi"/>
          <w:sz w:val="24"/>
          <w:szCs w:val="24"/>
        </w:rPr>
        <w:t xml:space="preserve"> ;</w:t>
      </w:r>
    </w:p>
    <w:p w14:paraId="2ABBB3F3" w14:textId="77777777" w:rsidR="00C838AC" w:rsidRPr="008354C2" w:rsidRDefault="00C838AC" w:rsidP="00F80004">
      <w:pPr>
        <w:pStyle w:val="Standard"/>
        <w:numPr>
          <w:ilvl w:val="0"/>
          <w:numId w:val="14"/>
        </w:numPr>
        <w:spacing w:after="80" w:line="276" w:lineRule="auto"/>
        <w:ind w:left="714" w:hanging="357"/>
        <w:rPr>
          <w:rFonts w:asciiTheme="majorHAnsi" w:hAnsiTheme="majorHAnsi" w:cstheme="majorHAnsi"/>
          <w:b/>
          <w:sz w:val="24"/>
          <w:szCs w:val="24"/>
        </w:rPr>
      </w:pPr>
      <w:r w:rsidRPr="008354C2">
        <w:rPr>
          <w:rFonts w:asciiTheme="majorHAnsi" w:hAnsiTheme="majorHAnsi" w:cstheme="majorHAnsi"/>
          <w:sz w:val="24"/>
          <w:szCs w:val="24"/>
        </w:rPr>
        <w:t xml:space="preserve">Les </w:t>
      </w:r>
      <w:r w:rsidRPr="008354C2">
        <w:rPr>
          <w:rFonts w:asciiTheme="majorHAnsi" w:hAnsiTheme="majorHAnsi" w:cstheme="majorHAnsi"/>
          <w:b/>
          <w:sz w:val="24"/>
          <w:szCs w:val="24"/>
        </w:rPr>
        <w:t>actifs éligibles (en fonction des contraintes ﬁxées en interne)</w:t>
      </w:r>
      <w:r w:rsidRPr="00393869">
        <w:rPr>
          <w:rFonts w:asciiTheme="majorHAnsi" w:hAnsiTheme="majorHAnsi" w:cstheme="majorHAnsi"/>
          <w:sz w:val="24"/>
          <w:szCs w:val="24"/>
        </w:rPr>
        <w:t xml:space="preserve"> ;</w:t>
      </w:r>
    </w:p>
    <w:p w14:paraId="7DF32E57" w14:textId="77777777" w:rsidR="00C838AC" w:rsidRPr="008354C2" w:rsidRDefault="00C838AC" w:rsidP="00F80004">
      <w:pPr>
        <w:pStyle w:val="Standard"/>
        <w:numPr>
          <w:ilvl w:val="0"/>
          <w:numId w:val="14"/>
        </w:numPr>
        <w:spacing w:after="80" w:line="276" w:lineRule="auto"/>
        <w:ind w:left="714" w:hanging="357"/>
        <w:rPr>
          <w:rFonts w:asciiTheme="majorHAnsi" w:hAnsiTheme="majorHAnsi" w:cstheme="majorHAnsi"/>
          <w:sz w:val="24"/>
          <w:szCs w:val="24"/>
        </w:rPr>
      </w:pPr>
      <w:r w:rsidRPr="008354C2">
        <w:rPr>
          <w:rFonts w:asciiTheme="majorHAnsi" w:hAnsiTheme="majorHAnsi" w:cstheme="majorHAnsi"/>
          <w:b/>
          <w:sz w:val="24"/>
          <w:szCs w:val="24"/>
        </w:rPr>
        <w:t>L’organisation de la gestion</w:t>
      </w:r>
      <w:r w:rsidRPr="008354C2">
        <w:rPr>
          <w:rFonts w:asciiTheme="majorHAnsi" w:hAnsiTheme="majorHAnsi" w:cstheme="majorHAnsi"/>
          <w:sz w:val="24"/>
          <w:szCs w:val="24"/>
        </w:rPr>
        <w:t xml:space="preserve"> (déﬁnition des rôles, dispositif de contrôle) ;</w:t>
      </w:r>
    </w:p>
    <w:p w14:paraId="7545C13A" w14:textId="77777777" w:rsidR="00C838AC" w:rsidRPr="008354C2" w:rsidRDefault="00C838AC" w:rsidP="00F80004">
      <w:pPr>
        <w:pStyle w:val="Standard"/>
        <w:numPr>
          <w:ilvl w:val="0"/>
          <w:numId w:val="14"/>
        </w:numPr>
        <w:spacing w:after="80" w:line="276" w:lineRule="auto"/>
        <w:ind w:left="714" w:hanging="357"/>
        <w:rPr>
          <w:rFonts w:asciiTheme="majorHAnsi" w:hAnsiTheme="majorHAnsi" w:cstheme="majorHAnsi"/>
          <w:sz w:val="24"/>
          <w:szCs w:val="24"/>
        </w:rPr>
      </w:pPr>
      <w:r w:rsidRPr="008354C2">
        <w:rPr>
          <w:rFonts w:asciiTheme="majorHAnsi" w:hAnsiTheme="majorHAnsi" w:cstheme="majorHAnsi"/>
          <w:b/>
          <w:sz w:val="24"/>
          <w:szCs w:val="24"/>
        </w:rPr>
        <w:t>Les modalités de reporting</w:t>
      </w:r>
      <w:r w:rsidRPr="008354C2">
        <w:rPr>
          <w:rFonts w:asciiTheme="majorHAnsi" w:hAnsiTheme="majorHAnsi" w:cstheme="majorHAnsi"/>
          <w:sz w:val="24"/>
          <w:szCs w:val="24"/>
        </w:rPr>
        <w:t xml:space="preserve"> ;</w:t>
      </w:r>
    </w:p>
    <w:p w14:paraId="1012D791" w14:textId="77777777" w:rsidR="00C838AC" w:rsidRPr="008354C2" w:rsidRDefault="00C838AC" w:rsidP="007805CA">
      <w:pPr>
        <w:pStyle w:val="Standard"/>
        <w:numPr>
          <w:ilvl w:val="0"/>
          <w:numId w:val="14"/>
        </w:numPr>
        <w:spacing w:line="276" w:lineRule="auto"/>
        <w:rPr>
          <w:rFonts w:asciiTheme="majorHAnsi" w:hAnsiTheme="majorHAnsi" w:cstheme="majorHAnsi"/>
          <w:sz w:val="24"/>
          <w:szCs w:val="24"/>
        </w:rPr>
      </w:pPr>
      <w:r w:rsidRPr="008354C2">
        <w:rPr>
          <w:rFonts w:asciiTheme="majorHAnsi" w:hAnsiTheme="majorHAnsi" w:cstheme="majorHAnsi"/>
          <w:sz w:val="24"/>
          <w:szCs w:val="24"/>
        </w:rPr>
        <w:t xml:space="preserve">Le dispositif de </w:t>
      </w:r>
      <w:r w:rsidRPr="008354C2">
        <w:rPr>
          <w:rFonts w:asciiTheme="majorHAnsi" w:hAnsiTheme="majorHAnsi" w:cstheme="majorHAnsi"/>
          <w:b/>
          <w:sz w:val="24"/>
          <w:szCs w:val="24"/>
        </w:rPr>
        <w:t>gestion de crise</w:t>
      </w:r>
      <w:r w:rsidRPr="008354C2">
        <w:rPr>
          <w:rFonts w:asciiTheme="majorHAnsi" w:hAnsiTheme="majorHAnsi" w:cstheme="majorHAnsi"/>
          <w:sz w:val="24"/>
          <w:szCs w:val="24"/>
        </w:rPr>
        <w:t>.</w:t>
      </w:r>
    </w:p>
    <w:p w14:paraId="3DE49524"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lastRenderedPageBreak/>
        <w:t>Il est conseillé de faire le point sur cette politique de placement tous les deux à trois ans au maximum, afin de réviser les trois points clés :</w:t>
      </w:r>
    </w:p>
    <w:p w14:paraId="053A5A27" w14:textId="77777777" w:rsidR="00C838AC" w:rsidRPr="003A7F79" w:rsidRDefault="00C838AC" w:rsidP="003A7F79">
      <w:pPr>
        <w:pStyle w:val="Standard"/>
        <w:numPr>
          <w:ilvl w:val="0"/>
          <w:numId w:val="14"/>
        </w:numPr>
        <w:spacing w:after="80" w:line="276" w:lineRule="auto"/>
        <w:ind w:left="714" w:hanging="357"/>
        <w:rPr>
          <w:rFonts w:asciiTheme="majorHAnsi" w:hAnsiTheme="majorHAnsi" w:cstheme="majorHAnsi"/>
          <w:sz w:val="24"/>
          <w:szCs w:val="24"/>
        </w:rPr>
      </w:pPr>
      <w:r w:rsidRPr="003A7F79">
        <w:rPr>
          <w:rFonts w:asciiTheme="majorHAnsi" w:hAnsiTheme="majorHAnsi" w:cstheme="majorHAnsi"/>
          <w:sz w:val="24"/>
          <w:szCs w:val="24"/>
        </w:rPr>
        <w:t xml:space="preserve">Quel est mon </w:t>
      </w:r>
      <w:r w:rsidRPr="003A7F79">
        <w:rPr>
          <w:rFonts w:asciiTheme="majorHAnsi" w:hAnsiTheme="majorHAnsi" w:cstheme="majorHAnsi"/>
          <w:b/>
          <w:sz w:val="24"/>
          <w:szCs w:val="24"/>
        </w:rPr>
        <w:t>nouvel horizon d’investissement</w:t>
      </w:r>
      <w:r w:rsidRPr="003A7F79">
        <w:rPr>
          <w:rFonts w:asciiTheme="majorHAnsi" w:hAnsiTheme="majorHAnsi" w:cstheme="majorHAnsi"/>
          <w:sz w:val="24"/>
          <w:szCs w:val="24"/>
        </w:rPr>
        <w:t> ?</w:t>
      </w:r>
    </w:p>
    <w:p w14:paraId="2AA13601" w14:textId="77777777" w:rsidR="00C838AC" w:rsidRPr="003A7F79" w:rsidRDefault="00C838AC" w:rsidP="003A7F79">
      <w:pPr>
        <w:pStyle w:val="Standard"/>
        <w:numPr>
          <w:ilvl w:val="0"/>
          <w:numId w:val="14"/>
        </w:numPr>
        <w:spacing w:after="80" w:line="276" w:lineRule="auto"/>
        <w:ind w:left="714" w:hanging="357"/>
        <w:rPr>
          <w:rFonts w:asciiTheme="majorHAnsi" w:hAnsiTheme="majorHAnsi" w:cstheme="majorHAnsi"/>
          <w:sz w:val="24"/>
          <w:szCs w:val="24"/>
        </w:rPr>
      </w:pPr>
      <w:r w:rsidRPr="003A7F79">
        <w:rPr>
          <w:rFonts w:asciiTheme="majorHAnsi" w:hAnsiTheme="majorHAnsi" w:cstheme="majorHAnsi"/>
          <w:sz w:val="24"/>
          <w:szCs w:val="24"/>
        </w:rPr>
        <w:t xml:space="preserve">Quels </w:t>
      </w:r>
      <w:r w:rsidRPr="003A7F79">
        <w:rPr>
          <w:rFonts w:asciiTheme="majorHAnsi" w:hAnsiTheme="majorHAnsi" w:cstheme="majorHAnsi"/>
          <w:b/>
          <w:sz w:val="24"/>
          <w:szCs w:val="24"/>
        </w:rPr>
        <w:t>risques</w:t>
      </w:r>
      <w:r w:rsidRPr="003A7F79">
        <w:rPr>
          <w:rFonts w:asciiTheme="majorHAnsi" w:hAnsiTheme="majorHAnsi" w:cstheme="majorHAnsi"/>
          <w:sz w:val="24"/>
          <w:szCs w:val="24"/>
        </w:rPr>
        <w:t xml:space="preserve"> suis-je maintenant prêt à prendre ?</w:t>
      </w:r>
    </w:p>
    <w:p w14:paraId="05A181CF" w14:textId="77777777" w:rsidR="00C838AC" w:rsidRPr="008354C2" w:rsidRDefault="00C838AC" w:rsidP="003A7F79">
      <w:pPr>
        <w:pStyle w:val="Standard"/>
        <w:numPr>
          <w:ilvl w:val="0"/>
          <w:numId w:val="14"/>
        </w:numPr>
        <w:spacing w:after="80" w:line="276" w:lineRule="auto"/>
        <w:ind w:left="714" w:hanging="357"/>
      </w:pPr>
      <w:r w:rsidRPr="003A7F79">
        <w:rPr>
          <w:rFonts w:asciiTheme="majorHAnsi" w:hAnsiTheme="majorHAnsi" w:cstheme="majorHAnsi"/>
          <w:sz w:val="24"/>
          <w:szCs w:val="24"/>
        </w:rPr>
        <w:t xml:space="preserve">Quel </w:t>
      </w:r>
      <w:r w:rsidRPr="003A7F79">
        <w:rPr>
          <w:rFonts w:asciiTheme="majorHAnsi" w:hAnsiTheme="majorHAnsi" w:cstheme="majorHAnsi"/>
          <w:b/>
          <w:sz w:val="24"/>
          <w:szCs w:val="24"/>
        </w:rPr>
        <w:t>traitement fiscal</w:t>
      </w:r>
      <w:r w:rsidRPr="003A7F79">
        <w:rPr>
          <w:rFonts w:asciiTheme="majorHAnsi" w:hAnsiTheme="majorHAnsi" w:cstheme="majorHAnsi"/>
          <w:sz w:val="24"/>
          <w:szCs w:val="24"/>
        </w:rPr>
        <w:t xml:space="preserve"> est applicable et quels </w:t>
      </w:r>
      <w:r w:rsidRPr="003A7F79">
        <w:rPr>
          <w:rFonts w:asciiTheme="majorHAnsi" w:hAnsiTheme="majorHAnsi" w:cstheme="majorHAnsi"/>
          <w:b/>
          <w:sz w:val="24"/>
          <w:szCs w:val="24"/>
        </w:rPr>
        <w:t>frais</w:t>
      </w:r>
      <w:r w:rsidRPr="003A7F79">
        <w:rPr>
          <w:rFonts w:asciiTheme="majorHAnsi" w:hAnsiTheme="majorHAnsi" w:cstheme="majorHAnsi"/>
          <w:sz w:val="24"/>
          <w:szCs w:val="24"/>
        </w:rPr>
        <w:t xml:space="preserve"> vont être retenus (ils auront un impact significatif sur le rendement du placement, surtout si celui-ci est un</w:t>
      </w:r>
      <w:r w:rsidRPr="008354C2">
        <w:t xml:space="preserve"> OPC court-moyen terme) ?</w:t>
      </w:r>
    </w:p>
    <w:p w14:paraId="1FFD9394" w14:textId="2B710FB6" w:rsidR="00C838AC" w:rsidRPr="008354C2" w:rsidRDefault="00C838AC" w:rsidP="003031D1">
      <w:pPr>
        <w:pStyle w:val="Titre1"/>
      </w:pPr>
      <w:bookmarkStart w:id="0" w:name="_Hlk525046815"/>
      <w:r w:rsidRPr="008354C2">
        <w:t xml:space="preserve">1.2. Quel intermédiaire </w:t>
      </w:r>
      <w:r w:rsidR="00681BB7">
        <w:t>FI</w:t>
      </w:r>
      <w:r w:rsidRPr="008354C2">
        <w:t>nancier choisir ?</w:t>
      </w:r>
    </w:p>
    <w:bookmarkEnd w:id="0"/>
    <w:p w14:paraId="5E136324" w14:textId="4BE02285" w:rsidR="00C838AC" w:rsidRPr="008354C2" w:rsidRDefault="00C838AC" w:rsidP="007805CA">
      <w:pPr>
        <w:pStyle w:val="Standard"/>
        <w:spacing w:line="276" w:lineRule="auto"/>
        <w:jc w:val="both"/>
        <w:rPr>
          <w:rFonts w:asciiTheme="majorHAnsi" w:hAnsiTheme="majorHAnsi" w:cstheme="majorHAnsi"/>
          <w:sz w:val="24"/>
          <w:szCs w:val="24"/>
          <w:u w:val="single"/>
        </w:rPr>
      </w:pPr>
      <w:r w:rsidRPr="008354C2">
        <w:rPr>
          <w:rFonts w:asciiTheme="majorHAnsi" w:hAnsiTheme="majorHAnsi" w:cstheme="majorHAnsi"/>
          <w:sz w:val="24"/>
          <w:szCs w:val="24"/>
        </w:rPr>
        <w:t xml:space="preserve">Trois types d’interlocuteurs régulés sont susceptibles de vous accompagner dans la mise en œuvre de votre politique d’investissement : banques et établissements de crédit, sociétés de gestion de portefeuille ou </w:t>
      </w:r>
      <w:r w:rsidR="00AA2102">
        <w:rPr>
          <w:rFonts w:asciiTheme="majorHAnsi" w:hAnsiTheme="majorHAnsi" w:cstheme="majorHAnsi"/>
          <w:sz w:val="24"/>
          <w:szCs w:val="24"/>
        </w:rPr>
        <w:t>c</w:t>
      </w:r>
      <w:r w:rsidRPr="008354C2">
        <w:rPr>
          <w:rFonts w:asciiTheme="majorHAnsi" w:hAnsiTheme="majorHAnsi" w:cstheme="majorHAnsi"/>
          <w:sz w:val="24"/>
          <w:szCs w:val="24"/>
        </w:rPr>
        <w:t xml:space="preserve">onseillers en </w:t>
      </w:r>
      <w:r w:rsidR="00AA2102">
        <w:rPr>
          <w:rFonts w:asciiTheme="majorHAnsi" w:hAnsiTheme="majorHAnsi" w:cstheme="majorHAnsi"/>
          <w:sz w:val="24"/>
          <w:szCs w:val="24"/>
        </w:rPr>
        <w:t>i</w:t>
      </w:r>
      <w:r w:rsidRPr="008354C2">
        <w:rPr>
          <w:rFonts w:asciiTheme="majorHAnsi" w:hAnsiTheme="majorHAnsi" w:cstheme="majorHAnsi"/>
          <w:sz w:val="24"/>
          <w:szCs w:val="24"/>
        </w:rPr>
        <w:t xml:space="preserve">nvestissements </w:t>
      </w:r>
      <w:r w:rsidR="00AA2102">
        <w:rPr>
          <w:rFonts w:asciiTheme="majorHAnsi" w:hAnsiTheme="majorHAnsi" w:cstheme="majorHAnsi"/>
          <w:sz w:val="24"/>
          <w:szCs w:val="24"/>
        </w:rPr>
        <w:t>f</w:t>
      </w:r>
      <w:r w:rsidRPr="008354C2">
        <w:rPr>
          <w:rFonts w:asciiTheme="majorHAnsi" w:hAnsiTheme="majorHAnsi" w:cstheme="majorHAnsi"/>
          <w:sz w:val="24"/>
          <w:szCs w:val="24"/>
        </w:rPr>
        <w:t xml:space="preserve">inanciers (CIF). </w:t>
      </w:r>
      <w:r w:rsidRPr="00A31B7A">
        <w:rPr>
          <w:rFonts w:asciiTheme="majorHAnsi" w:hAnsiTheme="majorHAnsi" w:cstheme="majorHAnsi"/>
          <w:b/>
          <w:bCs/>
          <w:sz w:val="24"/>
          <w:szCs w:val="24"/>
        </w:rPr>
        <w:t xml:space="preserve">Afin d’éviter des démarchages intempestifs, des offres </w:t>
      </w:r>
      <w:r w:rsidR="00723344">
        <w:rPr>
          <w:rFonts w:asciiTheme="majorHAnsi" w:hAnsiTheme="majorHAnsi" w:cstheme="majorHAnsi"/>
          <w:b/>
          <w:bCs/>
          <w:sz w:val="24"/>
          <w:szCs w:val="24"/>
        </w:rPr>
        <w:t xml:space="preserve">qui ne sont </w:t>
      </w:r>
      <w:r w:rsidRPr="00A31B7A">
        <w:rPr>
          <w:rFonts w:asciiTheme="majorHAnsi" w:hAnsiTheme="majorHAnsi" w:cstheme="majorHAnsi"/>
          <w:b/>
          <w:bCs/>
          <w:sz w:val="24"/>
          <w:szCs w:val="24"/>
        </w:rPr>
        <w:t>pas forcément adaptées et d’éventuels conflits d’intérêt au sein de l’O</w:t>
      </w:r>
      <w:r w:rsidR="00A31B7A">
        <w:rPr>
          <w:rFonts w:asciiTheme="majorHAnsi" w:hAnsiTheme="majorHAnsi" w:cstheme="majorHAnsi"/>
          <w:b/>
          <w:bCs/>
          <w:sz w:val="24"/>
          <w:szCs w:val="24"/>
        </w:rPr>
        <w:t>gec</w:t>
      </w:r>
      <w:r w:rsidRPr="00A31B7A">
        <w:rPr>
          <w:rFonts w:asciiTheme="majorHAnsi" w:hAnsiTheme="majorHAnsi" w:cstheme="majorHAnsi"/>
          <w:b/>
          <w:bCs/>
          <w:sz w:val="24"/>
          <w:szCs w:val="24"/>
        </w:rPr>
        <w:t xml:space="preserve">, notre préconisation est de </w:t>
      </w:r>
      <w:r w:rsidR="00424865">
        <w:rPr>
          <w:rFonts w:asciiTheme="majorHAnsi" w:hAnsiTheme="majorHAnsi" w:cstheme="majorHAnsi"/>
          <w:b/>
          <w:bCs/>
          <w:sz w:val="24"/>
          <w:szCs w:val="24"/>
        </w:rPr>
        <w:t>vous</w:t>
      </w:r>
      <w:r w:rsidRPr="00A31B7A">
        <w:rPr>
          <w:rFonts w:asciiTheme="majorHAnsi" w:hAnsiTheme="majorHAnsi" w:cstheme="majorHAnsi"/>
          <w:b/>
          <w:bCs/>
          <w:sz w:val="24"/>
          <w:szCs w:val="24"/>
        </w:rPr>
        <w:t xml:space="preserve"> limiter aux seuls banquiers habituels dont l’offre est suffisamment généraliste pour couvrir </w:t>
      </w:r>
      <w:r w:rsidR="00424865">
        <w:rPr>
          <w:rFonts w:asciiTheme="majorHAnsi" w:hAnsiTheme="majorHAnsi" w:cstheme="majorHAnsi"/>
          <w:b/>
          <w:bCs/>
          <w:sz w:val="24"/>
          <w:szCs w:val="24"/>
        </w:rPr>
        <w:t>v</w:t>
      </w:r>
      <w:r w:rsidRPr="00A31B7A">
        <w:rPr>
          <w:rFonts w:asciiTheme="majorHAnsi" w:hAnsiTheme="majorHAnsi" w:cstheme="majorHAnsi"/>
          <w:b/>
          <w:bCs/>
          <w:sz w:val="24"/>
          <w:szCs w:val="24"/>
        </w:rPr>
        <w:t>os besoins.</w:t>
      </w:r>
    </w:p>
    <w:p w14:paraId="28CF35C5" w14:textId="77777777" w:rsidR="00C838AC" w:rsidRPr="008354C2" w:rsidRDefault="00C838AC" w:rsidP="007805CA">
      <w:pPr>
        <w:pStyle w:val="Standard"/>
        <w:spacing w:line="276" w:lineRule="auto"/>
        <w:rPr>
          <w:rFonts w:asciiTheme="majorHAnsi" w:hAnsiTheme="majorHAnsi" w:cstheme="majorHAnsi"/>
          <w:b/>
          <w:bCs/>
          <w:sz w:val="24"/>
          <w:szCs w:val="24"/>
        </w:rPr>
      </w:pPr>
      <w:r w:rsidRPr="008354C2">
        <w:rPr>
          <w:rFonts w:asciiTheme="majorHAnsi" w:hAnsiTheme="majorHAnsi" w:cstheme="majorHAnsi"/>
          <w:b/>
          <w:bCs/>
          <w:sz w:val="24"/>
          <w:szCs w:val="24"/>
        </w:rPr>
        <w:t>En cas de litige :</w:t>
      </w:r>
    </w:p>
    <w:p w14:paraId="304E8A4E"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La médiation de l’AMF n’est pas exclusivement réservée aux clients particuliers. Une première démarche écrite de réclamation est nécessaire auprès de votre intermédiaire financier. Si cette démarche est infructueuse, il est possible d'adresser un courrier à l’adresse suivante :</w:t>
      </w:r>
    </w:p>
    <w:p w14:paraId="501C8D9B" w14:textId="2B17E2A9" w:rsidR="00C838AC" w:rsidRPr="008354C2" w:rsidRDefault="00C838AC" w:rsidP="007805CA">
      <w:pPr>
        <w:pStyle w:val="Standard"/>
        <w:spacing w:line="276" w:lineRule="auto"/>
        <w:jc w:val="both"/>
        <w:rPr>
          <w:rFonts w:asciiTheme="majorHAnsi" w:hAnsiTheme="majorHAnsi" w:cstheme="majorHAnsi"/>
          <w:i/>
          <w:sz w:val="24"/>
          <w:szCs w:val="24"/>
        </w:rPr>
      </w:pPr>
      <w:r w:rsidRPr="008354C2">
        <w:rPr>
          <w:rFonts w:asciiTheme="majorHAnsi" w:hAnsiTheme="majorHAnsi" w:cstheme="majorHAnsi"/>
          <w:i/>
          <w:sz w:val="24"/>
          <w:szCs w:val="24"/>
        </w:rPr>
        <w:t>Autorité des Marchés Financiers - Le médiateur - 17, place de la Bourse - 75082 Paris Cedex 02</w:t>
      </w:r>
    </w:p>
    <w:p w14:paraId="727140C8"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Des formulaires de saisine sont également à disposition sur le site internet de l’AMF.</w:t>
      </w:r>
    </w:p>
    <w:p w14:paraId="6EE495C8" w14:textId="77777777" w:rsidR="00612027" w:rsidRPr="00B00EE9" w:rsidRDefault="00612027" w:rsidP="00AA2C07">
      <w:pPr>
        <w:pStyle w:val="Sansinterligne"/>
      </w:pPr>
      <w:r w:rsidRPr="00B00EE9">
        <w:t>Attention !</w:t>
      </w:r>
    </w:p>
    <w:p w14:paraId="43F076E7" w14:textId="77777777" w:rsidR="003A7F79" w:rsidRDefault="00612027" w:rsidP="00AA2C07">
      <w:pPr>
        <w:pStyle w:val="Paragraphedeliste"/>
        <w:numPr>
          <w:ilvl w:val="0"/>
          <w:numId w:val="43"/>
        </w:numPr>
      </w:pPr>
      <w:r w:rsidRPr="008661D7">
        <w:t>Le visa ou l’agrément de l’AMF ne constitue en aucun cas une recommandation de souscrire un produit ou de choisir un intermédiaire agréé plutôt qu’un autre.</w:t>
      </w:r>
    </w:p>
    <w:p w14:paraId="153D0E9A" w14:textId="731C38A1" w:rsidR="00C838AC" w:rsidRPr="008661D7" w:rsidRDefault="00612027" w:rsidP="00AA2C07">
      <w:pPr>
        <w:pStyle w:val="Paragraphedeliste"/>
        <w:numPr>
          <w:ilvl w:val="0"/>
          <w:numId w:val="43"/>
        </w:numPr>
      </w:pPr>
      <w:r w:rsidRPr="008661D7">
        <w:t>Il assure à l’investisseur que les prestataires remplissent les conditions fixées par la réglementation, que les documents légaux des produits présentés contiennent les informations essentielles ou encore que le document d’information des sociétés cotées en bourse est complet et compréhensible.</w:t>
      </w:r>
    </w:p>
    <w:p w14:paraId="33ABFB53" w14:textId="77777777" w:rsidR="00C213C7" w:rsidRDefault="00C213C7">
      <w:pPr>
        <w:ind w:firstLine="0"/>
        <w:rPr>
          <w:rFonts w:eastAsiaTheme="majorEastAsia" w:cstheme="majorBidi"/>
          <w:caps/>
          <w:color w:val="00AAC3"/>
          <w:spacing w:val="20"/>
          <w:sz w:val="28"/>
        </w:rPr>
      </w:pPr>
      <w:r>
        <w:br w:type="page"/>
      </w:r>
    </w:p>
    <w:p w14:paraId="6265E3B7" w14:textId="7344DBAA" w:rsidR="00C838AC" w:rsidRPr="008354C2" w:rsidRDefault="00C213C7" w:rsidP="003031D1">
      <w:pPr>
        <w:pStyle w:val="Titre1"/>
      </w:pPr>
      <w:r>
        <w:lastRenderedPageBreak/>
        <w:t xml:space="preserve">1.3. </w:t>
      </w:r>
      <w:r w:rsidR="00C838AC" w:rsidRPr="008354C2">
        <w:t>La gouvernance et les conflits d’intérêt</w:t>
      </w:r>
      <w:r>
        <w:t> :</w:t>
      </w:r>
    </w:p>
    <w:p w14:paraId="79DDBF0A" w14:textId="77777777" w:rsidR="00C838AC" w:rsidRPr="008354C2" w:rsidRDefault="00C838AC" w:rsidP="00F81336">
      <w:pPr>
        <w:pStyle w:val="Titre2"/>
        <w:spacing w:before="0" w:after="240"/>
        <w:contextualSpacing w:val="0"/>
      </w:pPr>
      <w:r w:rsidRPr="008354C2">
        <w:t>1.3.1. Les fondamentaux d'une bonne gouvernance</w:t>
      </w:r>
    </w:p>
    <w:p w14:paraId="138D78A3" w14:textId="2B0D217C" w:rsidR="00C3748F" w:rsidRPr="00AA2C07" w:rsidRDefault="00C838AC" w:rsidP="00992AB8">
      <w:pPr>
        <w:pStyle w:val="Titre4"/>
      </w:pPr>
      <w:r w:rsidRPr="00AA2C07">
        <w:t>Une organisation adaptée</w:t>
      </w:r>
    </w:p>
    <w:p w14:paraId="1690A585" w14:textId="77777777" w:rsidR="00520F88" w:rsidRDefault="00F81336" w:rsidP="00553651">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 </w:t>
      </w:r>
      <w:r w:rsidR="00C838AC" w:rsidRPr="008354C2">
        <w:rPr>
          <w:rFonts w:asciiTheme="majorHAnsi" w:hAnsiTheme="majorHAnsi" w:cstheme="majorHAnsi"/>
          <w:sz w:val="24"/>
          <w:szCs w:val="24"/>
        </w:rPr>
        <w:t xml:space="preserve">rôle de chacun, les modalités de prise de décisions et les délégations de pouvoirs doivent être </w:t>
      </w:r>
      <w:r w:rsidR="00C838AC" w:rsidRPr="008354C2">
        <w:rPr>
          <w:rFonts w:asciiTheme="majorHAnsi" w:hAnsiTheme="majorHAnsi" w:cstheme="majorHAnsi"/>
          <w:b/>
          <w:bCs/>
          <w:sz w:val="24"/>
          <w:szCs w:val="24"/>
        </w:rPr>
        <w:t>définis avec précision</w:t>
      </w:r>
      <w:r w:rsidR="00C838AC" w:rsidRPr="00020F91">
        <w:rPr>
          <w:rFonts w:asciiTheme="majorHAnsi" w:hAnsiTheme="majorHAnsi" w:cstheme="majorHAnsi"/>
          <w:sz w:val="24"/>
          <w:szCs w:val="24"/>
        </w:rPr>
        <w:t>.</w:t>
      </w:r>
    </w:p>
    <w:p w14:paraId="4AF6E17C" w14:textId="39AAAF56" w:rsidR="00C838AC" w:rsidRPr="008354C2" w:rsidRDefault="00C838AC" w:rsidP="00553651">
      <w:pPr>
        <w:pStyle w:val="Standard"/>
        <w:spacing w:line="276" w:lineRule="auto"/>
        <w:jc w:val="both"/>
        <w:rPr>
          <w:rFonts w:asciiTheme="majorHAnsi" w:hAnsiTheme="majorHAnsi" w:cstheme="majorHAnsi"/>
          <w:sz w:val="24"/>
          <w:szCs w:val="24"/>
        </w:rPr>
      </w:pPr>
      <w:r w:rsidRPr="00DF45BA">
        <w:rPr>
          <w:rFonts w:asciiTheme="majorHAnsi" w:hAnsiTheme="majorHAnsi" w:cstheme="majorHAnsi"/>
          <w:sz w:val="24"/>
          <w:szCs w:val="24"/>
          <w:u w:val="single"/>
        </w:rPr>
        <w:t>Le profil des personnes doit être adapté au type de gestion mis en œuvre</w:t>
      </w:r>
      <w:r w:rsidRPr="00CD37F8">
        <w:rPr>
          <w:rFonts w:asciiTheme="majorHAnsi" w:hAnsiTheme="majorHAnsi" w:cstheme="majorHAnsi"/>
          <w:sz w:val="24"/>
          <w:szCs w:val="24"/>
        </w:rPr>
        <w:t>.</w:t>
      </w:r>
      <w:r w:rsidR="00B33B0C">
        <w:rPr>
          <w:rFonts w:asciiTheme="majorHAnsi" w:hAnsiTheme="majorHAnsi" w:cstheme="majorHAnsi"/>
          <w:sz w:val="24"/>
          <w:szCs w:val="24"/>
        </w:rPr>
        <w:t xml:space="preserve"> </w:t>
      </w:r>
      <w:r w:rsidRPr="005223A0">
        <w:rPr>
          <w:rFonts w:asciiTheme="majorHAnsi" w:hAnsiTheme="majorHAnsi" w:cstheme="majorHAnsi"/>
          <w:bCs/>
          <w:sz w:val="24"/>
          <w:szCs w:val="24"/>
        </w:rPr>
        <w:t>Plus les produits ciblés sont</w:t>
      </w:r>
      <w:r w:rsidRPr="008354C2">
        <w:rPr>
          <w:rFonts w:asciiTheme="majorHAnsi" w:hAnsiTheme="majorHAnsi" w:cstheme="majorHAnsi"/>
          <w:b/>
          <w:bCs/>
          <w:sz w:val="24"/>
          <w:szCs w:val="24"/>
        </w:rPr>
        <w:t xml:space="preserve"> risqués </w:t>
      </w:r>
      <w:r w:rsidRPr="005223A0">
        <w:rPr>
          <w:rFonts w:asciiTheme="majorHAnsi" w:hAnsiTheme="majorHAnsi" w:cstheme="majorHAnsi"/>
          <w:bCs/>
          <w:sz w:val="24"/>
          <w:szCs w:val="24"/>
        </w:rPr>
        <w:t>et l'horizon d'investissement</w:t>
      </w:r>
      <w:r w:rsidRPr="008354C2">
        <w:rPr>
          <w:rFonts w:asciiTheme="majorHAnsi" w:hAnsiTheme="majorHAnsi" w:cstheme="majorHAnsi"/>
          <w:b/>
          <w:bCs/>
          <w:sz w:val="24"/>
          <w:szCs w:val="24"/>
        </w:rPr>
        <w:t xml:space="preserve"> lointain</w:t>
      </w:r>
      <w:r w:rsidRPr="005223A0">
        <w:rPr>
          <w:rFonts w:asciiTheme="majorHAnsi" w:hAnsiTheme="majorHAnsi" w:cstheme="majorHAnsi"/>
          <w:bCs/>
          <w:sz w:val="24"/>
          <w:szCs w:val="24"/>
        </w:rPr>
        <w:t>, plus des</w:t>
      </w:r>
      <w:r w:rsidRPr="008354C2">
        <w:rPr>
          <w:rFonts w:asciiTheme="majorHAnsi" w:hAnsiTheme="majorHAnsi" w:cstheme="majorHAnsi"/>
          <w:b/>
          <w:bCs/>
          <w:sz w:val="24"/>
          <w:szCs w:val="24"/>
        </w:rPr>
        <w:t xml:space="preserve"> compétences</w:t>
      </w:r>
      <w:r w:rsidRPr="005223A0">
        <w:rPr>
          <w:rFonts w:asciiTheme="majorHAnsi" w:hAnsiTheme="majorHAnsi" w:cstheme="majorHAnsi"/>
          <w:bCs/>
          <w:sz w:val="24"/>
          <w:szCs w:val="24"/>
        </w:rPr>
        <w:t>, externes le cas échéant,</w:t>
      </w:r>
      <w:r w:rsidRPr="008354C2">
        <w:rPr>
          <w:rFonts w:asciiTheme="majorHAnsi" w:hAnsiTheme="majorHAnsi" w:cstheme="majorHAnsi"/>
          <w:b/>
          <w:bCs/>
          <w:sz w:val="24"/>
          <w:szCs w:val="24"/>
        </w:rPr>
        <w:t xml:space="preserve"> </w:t>
      </w:r>
      <w:r w:rsidRPr="005223A0">
        <w:rPr>
          <w:rFonts w:asciiTheme="majorHAnsi" w:hAnsiTheme="majorHAnsi" w:cstheme="majorHAnsi"/>
          <w:bCs/>
          <w:sz w:val="24"/>
          <w:szCs w:val="24"/>
        </w:rPr>
        <w:t>sont</w:t>
      </w:r>
      <w:r w:rsidRPr="008354C2">
        <w:rPr>
          <w:rFonts w:asciiTheme="majorHAnsi" w:hAnsiTheme="majorHAnsi" w:cstheme="majorHAnsi"/>
          <w:b/>
          <w:bCs/>
          <w:sz w:val="24"/>
          <w:szCs w:val="24"/>
        </w:rPr>
        <w:t xml:space="preserve"> nécessaires</w:t>
      </w:r>
      <w:r w:rsidRPr="005223A0">
        <w:rPr>
          <w:rFonts w:asciiTheme="majorHAnsi" w:hAnsiTheme="majorHAnsi" w:cstheme="majorHAnsi"/>
          <w:bCs/>
          <w:sz w:val="24"/>
          <w:szCs w:val="24"/>
        </w:rPr>
        <w:t>.</w:t>
      </w:r>
    </w:p>
    <w:p w14:paraId="5A4FBFA5" w14:textId="39649925" w:rsidR="003F31DF" w:rsidRDefault="00C838AC" w:rsidP="00992AB8">
      <w:pPr>
        <w:pStyle w:val="Titre4"/>
      </w:pPr>
      <w:r w:rsidRPr="00804F66">
        <w:t>Transparence et clarté</w:t>
      </w:r>
    </w:p>
    <w:p w14:paraId="4352BAF7" w14:textId="3FE6502E" w:rsidR="00534EB1" w:rsidRDefault="00240D95" w:rsidP="00553651">
      <w:pPr>
        <w:pStyle w:val="Standard"/>
        <w:spacing w:line="276" w:lineRule="auto"/>
        <w:jc w:val="both"/>
        <w:rPr>
          <w:rFonts w:asciiTheme="majorHAnsi" w:hAnsiTheme="majorHAnsi" w:cstheme="majorHAnsi"/>
          <w:b/>
          <w:bCs/>
          <w:sz w:val="24"/>
          <w:szCs w:val="24"/>
        </w:rPr>
      </w:pPr>
      <w:r w:rsidRPr="008354C2">
        <w:rPr>
          <w:rFonts w:asciiTheme="majorHAnsi" w:hAnsiTheme="majorHAnsi" w:cstheme="majorHAnsi"/>
          <w:sz w:val="24"/>
          <w:szCs w:val="24"/>
        </w:rPr>
        <w:t xml:space="preserve">Chacun </w:t>
      </w:r>
      <w:r w:rsidR="00C838AC" w:rsidRPr="008354C2">
        <w:rPr>
          <w:rFonts w:asciiTheme="majorHAnsi" w:hAnsiTheme="majorHAnsi" w:cstheme="majorHAnsi"/>
          <w:sz w:val="24"/>
          <w:szCs w:val="24"/>
        </w:rPr>
        <w:t xml:space="preserve">doit être en mesure d’appréhender ce qui est attendu de lui. Il est important de </w:t>
      </w:r>
      <w:r w:rsidR="00C838AC" w:rsidRPr="008354C2">
        <w:rPr>
          <w:rFonts w:asciiTheme="majorHAnsi" w:hAnsiTheme="majorHAnsi" w:cstheme="majorHAnsi"/>
          <w:b/>
          <w:bCs/>
          <w:sz w:val="24"/>
          <w:szCs w:val="24"/>
        </w:rPr>
        <w:t>désigner</w:t>
      </w:r>
      <w:r w:rsidR="00534EB1">
        <w:rPr>
          <w:rFonts w:asciiTheme="majorHAnsi" w:hAnsiTheme="majorHAnsi" w:cstheme="majorHAnsi"/>
          <w:b/>
          <w:bCs/>
          <w:sz w:val="24"/>
          <w:szCs w:val="24"/>
        </w:rPr>
        <w:t> :</w:t>
      </w:r>
    </w:p>
    <w:p w14:paraId="0529DADD" w14:textId="0A8BB57D" w:rsidR="00534EB1" w:rsidRDefault="00C838AC" w:rsidP="00534EB1">
      <w:pPr>
        <w:pStyle w:val="Standard"/>
        <w:numPr>
          <w:ilvl w:val="0"/>
          <w:numId w:val="37"/>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les personnes</w:t>
      </w:r>
      <w:r w:rsidRPr="008354C2">
        <w:rPr>
          <w:rFonts w:asciiTheme="majorHAnsi" w:hAnsiTheme="majorHAnsi" w:cstheme="majorHAnsi"/>
          <w:sz w:val="24"/>
          <w:szCs w:val="24"/>
        </w:rPr>
        <w:t xml:space="preserve"> qui </w:t>
      </w:r>
      <w:r w:rsidRPr="008354C2">
        <w:rPr>
          <w:rFonts w:asciiTheme="majorHAnsi" w:hAnsiTheme="majorHAnsi" w:cstheme="majorHAnsi"/>
          <w:b/>
          <w:bCs/>
          <w:sz w:val="24"/>
          <w:szCs w:val="24"/>
        </w:rPr>
        <w:t>proposeront</w:t>
      </w:r>
      <w:r w:rsidRPr="008354C2">
        <w:rPr>
          <w:rFonts w:asciiTheme="majorHAnsi" w:hAnsiTheme="majorHAnsi" w:cstheme="majorHAnsi"/>
          <w:sz w:val="24"/>
          <w:szCs w:val="24"/>
        </w:rPr>
        <w:t xml:space="preserve"> des choix d’investissement</w:t>
      </w:r>
      <w:r w:rsidR="00534EB1">
        <w:rPr>
          <w:rFonts w:asciiTheme="majorHAnsi" w:hAnsiTheme="majorHAnsi" w:cstheme="majorHAnsi"/>
          <w:sz w:val="24"/>
          <w:szCs w:val="24"/>
        </w:rPr>
        <w:t> ;</w:t>
      </w:r>
    </w:p>
    <w:p w14:paraId="6469388F" w14:textId="68EAA390" w:rsidR="00534EB1" w:rsidRDefault="00C838AC" w:rsidP="00534EB1">
      <w:pPr>
        <w:pStyle w:val="Standard"/>
        <w:numPr>
          <w:ilvl w:val="0"/>
          <w:numId w:val="37"/>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celles qui </w:t>
      </w:r>
      <w:r w:rsidRPr="008354C2">
        <w:rPr>
          <w:rFonts w:asciiTheme="majorHAnsi" w:hAnsiTheme="majorHAnsi" w:cstheme="majorHAnsi"/>
          <w:b/>
          <w:bCs/>
          <w:sz w:val="24"/>
          <w:szCs w:val="24"/>
        </w:rPr>
        <w:t>prendront effectivement les décisions</w:t>
      </w:r>
      <w:r w:rsidRPr="008354C2">
        <w:rPr>
          <w:rFonts w:asciiTheme="majorHAnsi" w:hAnsiTheme="majorHAnsi" w:cstheme="majorHAnsi"/>
          <w:sz w:val="24"/>
          <w:szCs w:val="24"/>
        </w:rPr>
        <w:t xml:space="preserve"> d’investissement</w:t>
      </w:r>
      <w:r w:rsidR="00534EB1">
        <w:rPr>
          <w:rFonts w:asciiTheme="majorHAnsi" w:hAnsiTheme="majorHAnsi" w:cstheme="majorHAnsi"/>
          <w:sz w:val="24"/>
          <w:szCs w:val="24"/>
        </w:rPr>
        <w:t> ;</w:t>
      </w:r>
    </w:p>
    <w:p w14:paraId="7C353FD0" w14:textId="31BE1646" w:rsidR="00C838AC" w:rsidRPr="008354C2" w:rsidRDefault="00C838AC" w:rsidP="00534EB1">
      <w:pPr>
        <w:pStyle w:val="Standard"/>
        <w:numPr>
          <w:ilvl w:val="0"/>
          <w:numId w:val="37"/>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et enfin celles qui </w:t>
      </w:r>
      <w:r w:rsidRPr="008354C2">
        <w:rPr>
          <w:rFonts w:asciiTheme="majorHAnsi" w:hAnsiTheme="majorHAnsi" w:cstheme="majorHAnsi"/>
          <w:b/>
          <w:bCs/>
          <w:sz w:val="24"/>
          <w:szCs w:val="24"/>
        </w:rPr>
        <w:t>s’assureront du bien</w:t>
      </w:r>
      <w:r w:rsidR="00240D95">
        <w:rPr>
          <w:rFonts w:asciiTheme="majorHAnsi" w:hAnsiTheme="majorHAnsi" w:cstheme="majorHAnsi"/>
          <w:b/>
          <w:bCs/>
          <w:sz w:val="24"/>
          <w:szCs w:val="24"/>
        </w:rPr>
        <w:t>-</w:t>
      </w:r>
      <w:r w:rsidRPr="008354C2">
        <w:rPr>
          <w:rFonts w:asciiTheme="majorHAnsi" w:hAnsiTheme="majorHAnsi" w:cstheme="majorHAnsi"/>
          <w:b/>
          <w:bCs/>
          <w:sz w:val="24"/>
          <w:szCs w:val="24"/>
        </w:rPr>
        <w:t>fondé des décisions prises et qui contrôleront</w:t>
      </w:r>
      <w:r w:rsidRPr="008354C2">
        <w:rPr>
          <w:rFonts w:asciiTheme="majorHAnsi" w:hAnsiTheme="majorHAnsi" w:cstheme="majorHAnsi"/>
          <w:sz w:val="24"/>
          <w:szCs w:val="24"/>
        </w:rPr>
        <w:t xml:space="preserve"> le processus d’investissement dans son ensemble.</w:t>
      </w:r>
    </w:p>
    <w:p w14:paraId="4B3A631A" w14:textId="2833E824" w:rsidR="00804F66" w:rsidRDefault="00C838AC" w:rsidP="00992AB8">
      <w:pPr>
        <w:pStyle w:val="Titre4"/>
      </w:pPr>
      <w:r w:rsidRPr="00804F66">
        <w:t xml:space="preserve">Évaluation régulière </w:t>
      </w:r>
    </w:p>
    <w:p w14:paraId="21DE12BD" w14:textId="6415436B" w:rsidR="00C838AC" w:rsidRDefault="00804F66" w:rsidP="00553651">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La </w:t>
      </w:r>
      <w:r w:rsidR="00C838AC" w:rsidRPr="008354C2">
        <w:rPr>
          <w:rFonts w:asciiTheme="majorHAnsi" w:hAnsiTheme="majorHAnsi" w:cstheme="majorHAnsi"/>
          <w:sz w:val="24"/>
          <w:szCs w:val="24"/>
        </w:rPr>
        <w:t xml:space="preserve">politique de placement formalisée par le </w:t>
      </w:r>
      <w:r>
        <w:rPr>
          <w:rFonts w:asciiTheme="majorHAnsi" w:hAnsiTheme="majorHAnsi" w:cstheme="majorHAnsi"/>
          <w:sz w:val="24"/>
          <w:szCs w:val="24"/>
        </w:rPr>
        <w:t>conseil d’administration</w:t>
      </w:r>
      <w:r w:rsidR="00C838AC" w:rsidRPr="008354C2">
        <w:rPr>
          <w:rFonts w:asciiTheme="majorHAnsi" w:hAnsiTheme="majorHAnsi" w:cstheme="majorHAnsi"/>
          <w:sz w:val="24"/>
          <w:szCs w:val="24"/>
        </w:rPr>
        <w:t xml:space="preserve">, comme indiqué </w:t>
      </w:r>
      <w:r w:rsidR="00DF45BA">
        <w:rPr>
          <w:rFonts w:asciiTheme="majorHAnsi" w:hAnsiTheme="majorHAnsi" w:cstheme="majorHAnsi"/>
          <w:sz w:val="24"/>
          <w:szCs w:val="24"/>
        </w:rPr>
        <w:t>précédemment</w:t>
      </w:r>
      <w:r w:rsidR="00C838AC" w:rsidRPr="008354C2">
        <w:rPr>
          <w:rFonts w:asciiTheme="majorHAnsi" w:hAnsiTheme="majorHAnsi" w:cstheme="majorHAnsi"/>
          <w:sz w:val="24"/>
          <w:szCs w:val="24"/>
        </w:rPr>
        <w:t xml:space="preserve">, est indispensable pour </w:t>
      </w:r>
      <w:r w:rsidR="00C838AC" w:rsidRPr="00E23D1D">
        <w:rPr>
          <w:rFonts w:asciiTheme="majorHAnsi" w:hAnsiTheme="majorHAnsi" w:cstheme="majorHAnsi"/>
          <w:b/>
          <w:sz w:val="24"/>
          <w:szCs w:val="24"/>
        </w:rPr>
        <w:t>faire régulièrement le point sur les investissements réalisés</w:t>
      </w:r>
      <w:r w:rsidR="00C838AC" w:rsidRPr="008354C2">
        <w:rPr>
          <w:rFonts w:asciiTheme="majorHAnsi" w:hAnsiTheme="majorHAnsi" w:cstheme="majorHAnsi"/>
          <w:sz w:val="24"/>
          <w:szCs w:val="24"/>
        </w:rPr>
        <w:t xml:space="preserve"> pour le compte de l’Ogec.</w:t>
      </w:r>
    </w:p>
    <w:p w14:paraId="1EC83D29" w14:textId="77777777" w:rsidR="00B33B0C" w:rsidRDefault="00B33B0C" w:rsidP="00553651">
      <w:pPr>
        <w:pStyle w:val="Standard"/>
        <w:spacing w:line="276" w:lineRule="auto"/>
        <w:jc w:val="both"/>
        <w:rPr>
          <w:rFonts w:asciiTheme="majorHAnsi" w:hAnsiTheme="majorHAnsi" w:cstheme="majorHAnsi"/>
          <w:sz w:val="24"/>
          <w:szCs w:val="24"/>
        </w:rPr>
      </w:pPr>
    </w:p>
    <w:p w14:paraId="5F81A005" w14:textId="5F7C1595" w:rsidR="00C838AC" w:rsidRPr="008354C2" w:rsidRDefault="00C838AC" w:rsidP="00113E6A">
      <w:pPr>
        <w:pStyle w:val="Titre2"/>
        <w:spacing w:before="0" w:after="240"/>
        <w:contextualSpacing w:val="0"/>
      </w:pPr>
      <w:r w:rsidRPr="008354C2">
        <w:t>1.3.2. La prévention des con</w:t>
      </w:r>
      <w:r w:rsidR="00113E6A">
        <w:t>FL</w:t>
      </w:r>
      <w:r w:rsidRPr="008354C2">
        <w:t>its d’intérêt</w:t>
      </w:r>
    </w:p>
    <w:p w14:paraId="35E0DBFC" w14:textId="77777777" w:rsidR="003F6F58" w:rsidRDefault="00C838AC" w:rsidP="007805CA">
      <w:pPr>
        <w:pStyle w:val="Standard"/>
        <w:spacing w:line="276" w:lineRule="auto"/>
        <w:jc w:val="both"/>
        <w:rPr>
          <w:rFonts w:asciiTheme="majorHAnsi" w:hAnsiTheme="majorHAnsi" w:cstheme="majorHAnsi"/>
          <w:b/>
          <w:bCs/>
          <w:sz w:val="24"/>
          <w:szCs w:val="24"/>
        </w:rPr>
      </w:pPr>
      <w:r w:rsidRPr="008354C2">
        <w:rPr>
          <w:rFonts w:asciiTheme="majorHAnsi" w:hAnsiTheme="majorHAnsi" w:cstheme="majorHAnsi"/>
          <w:sz w:val="24"/>
          <w:szCs w:val="24"/>
        </w:rPr>
        <w:t xml:space="preserve">Une mauvaise identification des risques de conflits d’intérêt peut conduire à </w:t>
      </w:r>
      <w:r w:rsidRPr="008354C2">
        <w:rPr>
          <w:rFonts w:asciiTheme="majorHAnsi" w:hAnsiTheme="majorHAnsi" w:cstheme="majorHAnsi"/>
          <w:b/>
          <w:bCs/>
          <w:sz w:val="24"/>
          <w:szCs w:val="24"/>
        </w:rPr>
        <w:t>la perte de crédibilité d’une institution auprès du public, en particulier lorsque son objet est d'intérêt général et non lucratif.</w:t>
      </w:r>
    </w:p>
    <w:p w14:paraId="796C1873" w14:textId="77777777" w:rsidR="003F6F58" w:rsidRDefault="00C838AC" w:rsidP="007805CA">
      <w:pPr>
        <w:pStyle w:val="Standard"/>
        <w:spacing w:line="276" w:lineRule="auto"/>
        <w:jc w:val="both"/>
        <w:rPr>
          <w:rFonts w:asciiTheme="majorHAnsi" w:hAnsiTheme="majorHAnsi" w:cstheme="majorHAnsi"/>
          <w:b/>
          <w:bCs/>
          <w:sz w:val="24"/>
          <w:szCs w:val="24"/>
        </w:rPr>
      </w:pPr>
      <w:r w:rsidRPr="008354C2">
        <w:rPr>
          <w:rFonts w:asciiTheme="majorHAnsi" w:hAnsiTheme="majorHAnsi" w:cstheme="majorHAnsi"/>
          <w:sz w:val="24"/>
          <w:szCs w:val="24"/>
        </w:rPr>
        <w:t xml:space="preserve">Par ailleurs, </w:t>
      </w:r>
      <w:r w:rsidRPr="008354C2">
        <w:rPr>
          <w:rFonts w:asciiTheme="majorHAnsi" w:hAnsiTheme="majorHAnsi" w:cstheme="majorHAnsi"/>
          <w:b/>
          <w:bCs/>
          <w:sz w:val="24"/>
          <w:szCs w:val="24"/>
        </w:rPr>
        <w:t>la prise illégale d’intérêts</w:t>
      </w:r>
      <w:r w:rsidRPr="008354C2">
        <w:rPr>
          <w:rFonts w:asciiTheme="majorHAnsi" w:hAnsiTheme="majorHAnsi" w:cstheme="majorHAnsi"/>
          <w:sz w:val="24"/>
          <w:szCs w:val="24"/>
        </w:rPr>
        <w:t xml:space="preserve">, qui peut découler d’une situation conflictuelle, est </w:t>
      </w:r>
      <w:r w:rsidRPr="008354C2">
        <w:rPr>
          <w:rFonts w:asciiTheme="majorHAnsi" w:hAnsiTheme="majorHAnsi" w:cstheme="majorHAnsi"/>
          <w:b/>
          <w:bCs/>
          <w:sz w:val="24"/>
          <w:szCs w:val="24"/>
        </w:rPr>
        <w:t>sanctionnée pénalement.</w:t>
      </w:r>
    </w:p>
    <w:p w14:paraId="0AE4C4F9" w14:textId="303EEF39"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 conflit d’intérêt correspond à l’immixtion de la sphère personnelle dans la sphère professionnelle (et inversement).</w:t>
      </w:r>
    </w:p>
    <w:p w14:paraId="0565402E" w14:textId="79FF36EE"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lastRenderedPageBreak/>
        <w:t>Un conflit d’intérêts est dit :</w:t>
      </w:r>
    </w:p>
    <w:p w14:paraId="185BCF46" w14:textId="608BC6D2" w:rsidR="00C838AC" w:rsidRPr="008354C2" w:rsidRDefault="00113E6A" w:rsidP="007805CA">
      <w:pPr>
        <w:pStyle w:val="Standard"/>
        <w:numPr>
          <w:ilvl w:val="0"/>
          <w:numId w:val="17"/>
        </w:numPr>
        <w:spacing w:line="276" w:lineRule="auto"/>
        <w:jc w:val="both"/>
        <w:rPr>
          <w:rFonts w:asciiTheme="majorHAnsi" w:hAnsiTheme="majorHAnsi" w:cstheme="majorHAnsi"/>
          <w:sz w:val="24"/>
          <w:szCs w:val="24"/>
        </w:rPr>
      </w:pPr>
      <w:r>
        <w:rPr>
          <w:rFonts w:asciiTheme="majorHAnsi" w:hAnsiTheme="majorHAnsi" w:cstheme="majorHAnsi"/>
          <w:b/>
          <w:bCs/>
          <w:sz w:val="24"/>
          <w:szCs w:val="24"/>
        </w:rPr>
        <w:t>« </w:t>
      </w:r>
      <w:r w:rsidR="00C838AC" w:rsidRPr="008354C2">
        <w:rPr>
          <w:rFonts w:asciiTheme="majorHAnsi" w:hAnsiTheme="majorHAnsi" w:cstheme="majorHAnsi"/>
          <w:b/>
          <w:bCs/>
          <w:sz w:val="24"/>
          <w:szCs w:val="24"/>
        </w:rPr>
        <w:t>Potentiel</w:t>
      </w:r>
      <w:r>
        <w:rPr>
          <w:rFonts w:asciiTheme="majorHAnsi" w:hAnsiTheme="majorHAnsi" w:cstheme="majorHAnsi"/>
          <w:b/>
          <w:bCs/>
          <w:sz w:val="24"/>
          <w:szCs w:val="24"/>
        </w:rPr>
        <w:t> »</w:t>
      </w:r>
      <w:r w:rsidR="00C838AC" w:rsidRPr="008354C2">
        <w:rPr>
          <w:rFonts w:asciiTheme="majorHAnsi" w:hAnsiTheme="majorHAnsi" w:cstheme="majorHAnsi"/>
          <w:b/>
          <w:bCs/>
          <w:sz w:val="24"/>
          <w:szCs w:val="24"/>
        </w:rPr>
        <w:t xml:space="preserve"> </w:t>
      </w:r>
      <w:r w:rsidR="00C838AC" w:rsidRPr="008354C2">
        <w:rPr>
          <w:rFonts w:asciiTheme="majorHAnsi" w:hAnsiTheme="majorHAnsi" w:cstheme="majorHAnsi"/>
          <w:sz w:val="24"/>
          <w:szCs w:val="24"/>
        </w:rPr>
        <w:t>lorsqu’il n’est pas encore matérialisé ;</w:t>
      </w:r>
    </w:p>
    <w:p w14:paraId="152B6A81" w14:textId="2354199A" w:rsidR="00C838AC" w:rsidRPr="008354C2" w:rsidRDefault="00113E6A" w:rsidP="007805CA">
      <w:pPr>
        <w:pStyle w:val="Standard"/>
        <w:numPr>
          <w:ilvl w:val="0"/>
          <w:numId w:val="17"/>
        </w:numPr>
        <w:spacing w:line="276" w:lineRule="auto"/>
        <w:jc w:val="both"/>
        <w:rPr>
          <w:rFonts w:asciiTheme="majorHAnsi" w:hAnsiTheme="majorHAnsi" w:cstheme="majorHAnsi"/>
          <w:sz w:val="24"/>
          <w:szCs w:val="24"/>
        </w:rPr>
      </w:pPr>
      <w:r>
        <w:rPr>
          <w:rFonts w:asciiTheme="majorHAnsi" w:hAnsiTheme="majorHAnsi" w:cstheme="majorHAnsi"/>
          <w:b/>
          <w:bCs/>
          <w:sz w:val="24"/>
          <w:szCs w:val="24"/>
        </w:rPr>
        <w:t>« </w:t>
      </w:r>
      <w:r w:rsidR="00C838AC" w:rsidRPr="008354C2">
        <w:rPr>
          <w:rFonts w:asciiTheme="majorHAnsi" w:hAnsiTheme="majorHAnsi" w:cstheme="majorHAnsi"/>
          <w:b/>
          <w:bCs/>
          <w:sz w:val="24"/>
          <w:szCs w:val="24"/>
        </w:rPr>
        <w:t>Apparent</w:t>
      </w:r>
      <w:r>
        <w:rPr>
          <w:rFonts w:asciiTheme="majorHAnsi" w:hAnsiTheme="majorHAnsi" w:cstheme="majorHAnsi"/>
          <w:b/>
          <w:bCs/>
          <w:sz w:val="24"/>
          <w:szCs w:val="24"/>
        </w:rPr>
        <w:t> »</w:t>
      </w:r>
      <w:r w:rsidR="00C838AC" w:rsidRPr="008354C2">
        <w:rPr>
          <w:rFonts w:asciiTheme="majorHAnsi" w:hAnsiTheme="majorHAnsi" w:cstheme="majorHAnsi"/>
          <w:b/>
          <w:bCs/>
          <w:sz w:val="24"/>
          <w:szCs w:val="24"/>
        </w:rPr>
        <w:t xml:space="preserve"> </w:t>
      </w:r>
      <w:r w:rsidR="00C838AC" w:rsidRPr="008354C2">
        <w:rPr>
          <w:rFonts w:asciiTheme="majorHAnsi" w:hAnsiTheme="majorHAnsi" w:cstheme="majorHAnsi"/>
          <w:sz w:val="24"/>
          <w:szCs w:val="24"/>
        </w:rPr>
        <w:t>lorsqu’il est possible mais qu’aucun intérêt suspect n’a pu être prouvé ;</w:t>
      </w:r>
    </w:p>
    <w:p w14:paraId="3DA18193" w14:textId="57BC81A5" w:rsidR="00C838AC" w:rsidRPr="008354C2" w:rsidRDefault="00113E6A" w:rsidP="007805CA">
      <w:pPr>
        <w:pStyle w:val="Standard"/>
        <w:numPr>
          <w:ilvl w:val="0"/>
          <w:numId w:val="17"/>
        </w:numPr>
        <w:spacing w:line="276" w:lineRule="auto"/>
        <w:jc w:val="both"/>
        <w:rPr>
          <w:rFonts w:asciiTheme="majorHAnsi" w:hAnsiTheme="majorHAnsi" w:cstheme="majorHAnsi"/>
          <w:sz w:val="24"/>
          <w:szCs w:val="24"/>
        </w:rPr>
      </w:pPr>
      <w:r>
        <w:rPr>
          <w:rFonts w:asciiTheme="majorHAnsi" w:hAnsiTheme="majorHAnsi" w:cstheme="majorHAnsi"/>
          <w:b/>
          <w:bCs/>
          <w:sz w:val="24"/>
          <w:szCs w:val="24"/>
        </w:rPr>
        <w:t>« </w:t>
      </w:r>
      <w:r w:rsidR="00C838AC" w:rsidRPr="008354C2">
        <w:rPr>
          <w:rFonts w:asciiTheme="majorHAnsi" w:hAnsiTheme="majorHAnsi" w:cstheme="majorHAnsi"/>
          <w:b/>
          <w:bCs/>
          <w:sz w:val="24"/>
          <w:szCs w:val="24"/>
        </w:rPr>
        <w:t>Réel</w:t>
      </w:r>
      <w:r>
        <w:rPr>
          <w:rFonts w:asciiTheme="majorHAnsi" w:hAnsiTheme="majorHAnsi" w:cstheme="majorHAnsi"/>
          <w:b/>
          <w:bCs/>
          <w:sz w:val="24"/>
          <w:szCs w:val="24"/>
        </w:rPr>
        <w:t> »</w:t>
      </w:r>
      <w:r w:rsidR="00C838AC" w:rsidRPr="008354C2">
        <w:rPr>
          <w:rFonts w:asciiTheme="majorHAnsi" w:hAnsiTheme="majorHAnsi" w:cstheme="majorHAnsi"/>
          <w:b/>
          <w:bCs/>
          <w:sz w:val="24"/>
          <w:szCs w:val="24"/>
        </w:rPr>
        <w:t xml:space="preserve"> </w:t>
      </w:r>
      <w:r w:rsidR="00C838AC" w:rsidRPr="008354C2">
        <w:rPr>
          <w:rFonts w:asciiTheme="majorHAnsi" w:hAnsiTheme="majorHAnsi" w:cstheme="majorHAnsi"/>
          <w:sz w:val="24"/>
          <w:szCs w:val="24"/>
        </w:rPr>
        <w:t>lorsqu’il est avéré qu’un intérêt personnel peut influencer le comportement de la personne exerçant ses fonctions professionnelles ;</w:t>
      </w:r>
    </w:p>
    <w:p w14:paraId="77F4AC68" w14:textId="4EC3EC94" w:rsidR="00C838AC" w:rsidRPr="008354C2" w:rsidRDefault="00113E6A" w:rsidP="007805CA">
      <w:pPr>
        <w:pStyle w:val="Standard"/>
        <w:numPr>
          <w:ilvl w:val="0"/>
          <w:numId w:val="17"/>
        </w:numPr>
        <w:spacing w:line="276" w:lineRule="auto"/>
        <w:jc w:val="both"/>
        <w:rPr>
          <w:rFonts w:asciiTheme="majorHAnsi" w:hAnsiTheme="majorHAnsi" w:cstheme="majorHAnsi"/>
          <w:sz w:val="24"/>
          <w:szCs w:val="24"/>
        </w:rPr>
      </w:pPr>
      <w:r>
        <w:rPr>
          <w:rFonts w:asciiTheme="majorHAnsi" w:hAnsiTheme="majorHAnsi" w:cstheme="majorHAnsi"/>
          <w:b/>
          <w:bCs/>
          <w:sz w:val="24"/>
          <w:szCs w:val="24"/>
        </w:rPr>
        <w:t>« </w:t>
      </w:r>
      <w:r w:rsidR="00C838AC" w:rsidRPr="008354C2">
        <w:rPr>
          <w:rFonts w:asciiTheme="majorHAnsi" w:hAnsiTheme="majorHAnsi" w:cstheme="majorHAnsi"/>
          <w:b/>
          <w:bCs/>
          <w:sz w:val="24"/>
          <w:szCs w:val="24"/>
        </w:rPr>
        <w:t>Volontaire</w:t>
      </w:r>
      <w:r>
        <w:rPr>
          <w:rFonts w:asciiTheme="majorHAnsi" w:hAnsiTheme="majorHAnsi" w:cstheme="majorHAnsi"/>
          <w:b/>
          <w:bCs/>
          <w:sz w:val="24"/>
          <w:szCs w:val="24"/>
        </w:rPr>
        <w:t> »</w:t>
      </w:r>
      <w:r w:rsidR="00C838AC" w:rsidRPr="008354C2">
        <w:rPr>
          <w:rFonts w:asciiTheme="majorHAnsi" w:hAnsiTheme="majorHAnsi" w:cstheme="majorHAnsi"/>
          <w:b/>
          <w:bCs/>
          <w:sz w:val="24"/>
          <w:szCs w:val="24"/>
        </w:rPr>
        <w:t xml:space="preserve"> ou </w:t>
      </w:r>
      <w:r>
        <w:rPr>
          <w:rFonts w:asciiTheme="majorHAnsi" w:hAnsiTheme="majorHAnsi" w:cstheme="majorHAnsi"/>
          <w:b/>
          <w:bCs/>
          <w:sz w:val="24"/>
          <w:szCs w:val="24"/>
        </w:rPr>
        <w:t>« </w:t>
      </w:r>
      <w:r w:rsidR="00C838AC" w:rsidRPr="008354C2">
        <w:rPr>
          <w:rFonts w:asciiTheme="majorHAnsi" w:hAnsiTheme="majorHAnsi" w:cstheme="majorHAnsi"/>
          <w:b/>
          <w:bCs/>
          <w:sz w:val="24"/>
          <w:szCs w:val="24"/>
        </w:rPr>
        <w:t>involontaire</w:t>
      </w:r>
      <w:r>
        <w:rPr>
          <w:rFonts w:asciiTheme="majorHAnsi" w:hAnsiTheme="majorHAnsi" w:cstheme="majorHAnsi"/>
          <w:b/>
          <w:bCs/>
          <w:sz w:val="24"/>
          <w:szCs w:val="24"/>
        </w:rPr>
        <w:t> »</w:t>
      </w:r>
      <w:r w:rsidR="00C838AC" w:rsidRPr="008354C2">
        <w:rPr>
          <w:rFonts w:asciiTheme="majorHAnsi" w:hAnsiTheme="majorHAnsi" w:cstheme="majorHAnsi"/>
          <w:b/>
          <w:bCs/>
          <w:sz w:val="24"/>
          <w:szCs w:val="24"/>
        </w:rPr>
        <w:t xml:space="preserve"> </w:t>
      </w:r>
      <w:r w:rsidR="00C838AC" w:rsidRPr="008354C2">
        <w:rPr>
          <w:rFonts w:asciiTheme="majorHAnsi" w:hAnsiTheme="majorHAnsi" w:cstheme="majorHAnsi"/>
          <w:sz w:val="24"/>
          <w:szCs w:val="24"/>
        </w:rPr>
        <w:t>en fonction d’une recherche de résultat ou non.</w:t>
      </w:r>
    </w:p>
    <w:p w14:paraId="008700FB" w14:textId="61325E83"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 cumul de plusieurs fonctions accompagnées d’un pouvoir de décision génère structurellement des conflits d’intérêt. Cette situation est prévue dans les </w:t>
      </w:r>
      <w:r w:rsidRPr="001B2F9F">
        <w:rPr>
          <w:rFonts w:asciiTheme="majorHAnsi" w:hAnsiTheme="majorHAnsi" w:cstheme="majorHAnsi"/>
          <w:sz w:val="24"/>
          <w:szCs w:val="24"/>
          <w:u w:val="single"/>
        </w:rPr>
        <w:t>statuts types des O</w:t>
      </w:r>
      <w:r w:rsidR="00CD37F8" w:rsidRPr="001B2F9F">
        <w:rPr>
          <w:rFonts w:asciiTheme="majorHAnsi" w:hAnsiTheme="majorHAnsi" w:cstheme="majorHAnsi"/>
          <w:sz w:val="24"/>
          <w:szCs w:val="24"/>
          <w:u w:val="single"/>
        </w:rPr>
        <w:t>gec</w:t>
      </w:r>
      <w:r w:rsidRPr="008354C2">
        <w:rPr>
          <w:rFonts w:asciiTheme="majorHAnsi" w:hAnsiTheme="majorHAnsi" w:cstheme="majorHAnsi"/>
          <w:sz w:val="24"/>
          <w:szCs w:val="24"/>
        </w:rPr>
        <w:t xml:space="preserve"> et doit faire l'objet d'une vigilance toute particulière.</w:t>
      </w:r>
    </w:p>
    <w:p w14:paraId="563D3F93" w14:textId="71FC1BCE" w:rsidR="00C838AC" w:rsidRPr="008354C2" w:rsidRDefault="00C838AC" w:rsidP="003031D1">
      <w:pPr>
        <w:pStyle w:val="Titre1"/>
      </w:pPr>
      <w:r w:rsidRPr="008354C2">
        <w:t>1.4. Les points essentiels à suivre après avoir investi</w:t>
      </w:r>
      <w:r w:rsidR="00D157C0">
        <w:t> :</w:t>
      </w:r>
    </w:p>
    <w:p w14:paraId="06BCD28F" w14:textId="10A0D550" w:rsidR="00C838AC" w:rsidRPr="008354C2" w:rsidRDefault="00C838AC" w:rsidP="007805CA">
      <w:pPr>
        <w:pStyle w:val="Standard"/>
        <w:numPr>
          <w:ilvl w:val="0"/>
          <w:numId w:val="18"/>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Être au fait </w:t>
      </w:r>
      <w:r w:rsidRPr="008354C2">
        <w:rPr>
          <w:rFonts w:asciiTheme="majorHAnsi" w:hAnsiTheme="majorHAnsi" w:cstheme="majorHAnsi"/>
          <w:b/>
          <w:bCs/>
          <w:sz w:val="24"/>
          <w:szCs w:val="24"/>
        </w:rPr>
        <w:t xml:space="preserve">de la fréquence et des contenus des </w:t>
      </w:r>
      <w:r w:rsidR="00AE410F">
        <w:rPr>
          <w:rFonts w:asciiTheme="majorHAnsi" w:hAnsiTheme="majorHAnsi" w:cstheme="majorHAnsi"/>
          <w:b/>
          <w:bCs/>
          <w:sz w:val="24"/>
          <w:szCs w:val="24"/>
        </w:rPr>
        <w:t>« </w:t>
      </w:r>
      <w:r w:rsidRPr="008354C2">
        <w:rPr>
          <w:rFonts w:asciiTheme="majorHAnsi" w:hAnsiTheme="majorHAnsi" w:cstheme="majorHAnsi"/>
          <w:b/>
          <w:bCs/>
          <w:sz w:val="24"/>
          <w:szCs w:val="24"/>
        </w:rPr>
        <w:t>reporting</w:t>
      </w:r>
      <w:r w:rsidR="00AE410F">
        <w:rPr>
          <w:rFonts w:asciiTheme="majorHAnsi" w:hAnsiTheme="majorHAnsi" w:cstheme="majorHAnsi"/>
          <w:b/>
          <w:bCs/>
          <w:sz w:val="24"/>
          <w:szCs w:val="24"/>
        </w:rPr>
        <w:t> »</w:t>
      </w:r>
      <w:r w:rsidRPr="008354C2">
        <w:rPr>
          <w:rFonts w:asciiTheme="majorHAnsi" w:hAnsiTheme="majorHAnsi" w:cstheme="majorHAnsi"/>
          <w:b/>
          <w:bCs/>
          <w:sz w:val="24"/>
          <w:szCs w:val="24"/>
        </w:rPr>
        <w:t xml:space="preserve"> de gestion</w:t>
      </w:r>
      <w:r w:rsidRPr="008354C2">
        <w:rPr>
          <w:rFonts w:asciiTheme="majorHAnsi" w:hAnsiTheme="majorHAnsi" w:cstheme="majorHAnsi"/>
          <w:sz w:val="24"/>
          <w:szCs w:val="24"/>
        </w:rPr>
        <w:t xml:space="preserve"> délivrés par la banque ;</w:t>
      </w:r>
    </w:p>
    <w:p w14:paraId="14E662F6" w14:textId="317B172D" w:rsidR="00C838AC" w:rsidRPr="008354C2" w:rsidRDefault="00C838AC" w:rsidP="007805CA">
      <w:pPr>
        <w:pStyle w:val="Standard"/>
        <w:numPr>
          <w:ilvl w:val="0"/>
          <w:numId w:val="18"/>
        </w:numPr>
        <w:suppressAutoHyphens w:val="0"/>
        <w:spacing w:line="276" w:lineRule="auto"/>
        <w:jc w:val="both"/>
        <w:rPr>
          <w:rFonts w:asciiTheme="majorHAnsi" w:hAnsiTheme="majorHAnsi" w:cstheme="majorHAnsi"/>
          <w:b/>
          <w:bCs/>
          <w:sz w:val="24"/>
          <w:szCs w:val="24"/>
        </w:rPr>
      </w:pPr>
      <w:r w:rsidRPr="008354C2">
        <w:rPr>
          <w:rFonts w:asciiTheme="majorHAnsi" w:hAnsiTheme="majorHAnsi" w:cstheme="majorHAnsi"/>
          <w:b/>
          <w:bCs/>
          <w:sz w:val="24"/>
          <w:szCs w:val="24"/>
        </w:rPr>
        <w:t>Vérifier que le choix de placement est toujours en adéquation avec la stratégie d’investissement</w:t>
      </w:r>
      <w:r w:rsidRPr="008354C2">
        <w:rPr>
          <w:rFonts w:asciiTheme="majorHAnsi" w:hAnsiTheme="majorHAnsi" w:cstheme="majorHAnsi"/>
          <w:sz w:val="24"/>
          <w:szCs w:val="24"/>
        </w:rPr>
        <w:t xml:space="preserve"> de l’O</w:t>
      </w:r>
      <w:r w:rsidR="00C64142">
        <w:rPr>
          <w:rFonts w:asciiTheme="majorHAnsi" w:hAnsiTheme="majorHAnsi" w:cstheme="majorHAnsi"/>
          <w:sz w:val="24"/>
          <w:szCs w:val="24"/>
        </w:rPr>
        <w:t>gec</w:t>
      </w:r>
      <w:r w:rsidRPr="008354C2">
        <w:rPr>
          <w:rFonts w:asciiTheme="majorHAnsi" w:hAnsiTheme="majorHAnsi" w:cstheme="majorHAnsi"/>
          <w:sz w:val="24"/>
          <w:szCs w:val="24"/>
        </w:rPr>
        <w:t xml:space="preserve"> qui peut être évolutive. C’est au </w:t>
      </w:r>
      <w:r w:rsidR="00C64142">
        <w:rPr>
          <w:rFonts w:asciiTheme="majorHAnsi" w:hAnsiTheme="majorHAnsi" w:cstheme="majorHAnsi"/>
          <w:sz w:val="24"/>
          <w:szCs w:val="24"/>
        </w:rPr>
        <w:t>conseil d’administration</w:t>
      </w:r>
      <w:r w:rsidRPr="008354C2">
        <w:rPr>
          <w:rFonts w:asciiTheme="majorHAnsi" w:hAnsiTheme="majorHAnsi" w:cstheme="majorHAnsi"/>
          <w:sz w:val="24"/>
          <w:szCs w:val="24"/>
        </w:rPr>
        <w:t xml:space="preserve"> de s’interroger sur cette stratégie selon une périodicité qu’il est libre de déterminer (voir ci-dessus).</w:t>
      </w:r>
      <w:r w:rsidRPr="008354C2">
        <w:rPr>
          <w:rFonts w:asciiTheme="majorHAnsi" w:hAnsiTheme="majorHAnsi" w:cstheme="majorHAnsi"/>
          <w:b/>
          <w:bCs/>
          <w:sz w:val="24"/>
          <w:szCs w:val="24"/>
        </w:rPr>
        <w:br w:type="page"/>
      </w:r>
    </w:p>
    <w:p w14:paraId="764CA0CF" w14:textId="7790BF4E" w:rsidR="00C838AC" w:rsidRPr="00F6333D" w:rsidRDefault="00F6333D" w:rsidP="00F6333D">
      <w:pPr>
        <w:pStyle w:val="Sansinterligne"/>
        <w:ind w:left="0"/>
      </w:pPr>
      <w:r>
        <w:lastRenderedPageBreak/>
        <w:t xml:space="preserve">2. </w:t>
      </w:r>
      <w:r w:rsidR="00C838AC" w:rsidRPr="00F6333D">
        <w:t>LES DIFFÉRENTS SUPPORTS D’INVESTISSEMENT</w:t>
      </w:r>
    </w:p>
    <w:p w14:paraId="74C215D0" w14:textId="23F0FF4B" w:rsidR="00C838AC" w:rsidRPr="008354C2" w:rsidRDefault="00D8732D" w:rsidP="003031D1">
      <w:pPr>
        <w:pStyle w:val="Titre1"/>
      </w:pPr>
      <w:r>
        <w:t>une</w:t>
      </w:r>
      <w:r w:rsidR="00C838AC" w:rsidRPr="008354C2">
        <w:t xml:space="preserve"> notion</w:t>
      </w:r>
      <w:r>
        <w:t>-</w:t>
      </w:r>
      <w:r w:rsidR="00C838AC" w:rsidRPr="008354C2">
        <w:t>clé</w:t>
      </w:r>
      <w:r w:rsidR="00E23D74">
        <w:t> :</w:t>
      </w:r>
    </w:p>
    <w:p w14:paraId="54CBCD10" w14:textId="79E1CC54" w:rsidR="00C838AC" w:rsidRPr="008354C2" w:rsidRDefault="00C838AC" w:rsidP="00992AB8">
      <w:pPr>
        <w:pStyle w:val="Titre4"/>
      </w:pPr>
      <w:r w:rsidRPr="008354C2">
        <w:t xml:space="preserve">Le couple « rendement </w:t>
      </w:r>
      <w:r w:rsidR="00AA2C07">
        <w:t>-</w:t>
      </w:r>
      <w:r w:rsidRPr="008354C2">
        <w:t xml:space="preserve"> risque »</w:t>
      </w:r>
    </w:p>
    <w:p w14:paraId="335D8E33" w14:textId="016AFE69" w:rsidR="00C838AC" w:rsidRPr="008354C2" w:rsidRDefault="00AB6139" w:rsidP="007805CA">
      <w:pPr>
        <w:pStyle w:val="Standard"/>
        <w:spacing w:line="276" w:lineRule="auto"/>
        <w:jc w:val="center"/>
        <w:rPr>
          <w:rFonts w:asciiTheme="majorHAnsi" w:hAnsiTheme="majorHAnsi" w:cstheme="majorHAnsi"/>
          <w:i/>
          <w:sz w:val="24"/>
          <w:szCs w:val="24"/>
        </w:rPr>
      </w:pPr>
      <w:r w:rsidRPr="008354C2">
        <w:rPr>
          <w:rFonts w:asciiTheme="majorHAnsi" w:hAnsiTheme="majorHAnsi" w:cstheme="majorHAnsi"/>
          <w:noProof/>
          <w:sz w:val="24"/>
          <w:szCs w:val="24"/>
        </w:rPr>
        <mc:AlternateContent>
          <mc:Choice Requires="wps">
            <w:drawing>
              <wp:anchor distT="0" distB="0" distL="114300" distR="114300" simplePos="0" relativeHeight="251663872" behindDoc="0" locked="0" layoutInCell="1" allowOverlap="1" wp14:anchorId="7CDDDF5C" wp14:editId="35E87C06">
                <wp:simplePos x="0" y="0"/>
                <wp:positionH relativeFrom="column">
                  <wp:posOffset>1930315</wp:posOffset>
                </wp:positionH>
                <wp:positionV relativeFrom="paragraph">
                  <wp:posOffset>1781677</wp:posOffset>
                </wp:positionV>
                <wp:extent cx="3037838" cy="0"/>
                <wp:effectExtent l="38100" t="133350" r="0" b="133350"/>
                <wp:wrapNone/>
                <wp:docPr id="3" name="Connecteur droit 2"/>
                <wp:cNvGraphicFramePr/>
                <a:graphic xmlns:a="http://schemas.openxmlformats.org/drawingml/2006/main">
                  <a:graphicData uri="http://schemas.microsoft.com/office/word/2010/wordprocessingShape">
                    <wps:wsp>
                      <wps:cNvCnPr/>
                      <wps:spPr>
                        <a:xfrm flipH="1">
                          <a:off x="0" y="0"/>
                          <a:ext cx="3037838" cy="0"/>
                        </a:xfrm>
                        <a:prstGeom prst="straightConnector1">
                          <a:avLst/>
                        </a:prstGeom>
                        <a:noFill/>
                        <a:ln w="36356" cap="flat">
                          <a:solidFill>
                            <a:srgbClr val="FF3333"/>
                          </a:solidFill>
                          <a:custDash>
                            <a:ds d="503026" sp="503026"/>
                            <a:ds d="503026" sp="503026"/>
                          </a:custDash>
                          <a:miter/>
                          <a:tailEnd type="arrow"/>
                        </a:ln>
                      </wps:spPr>
                      <wps:bodyPr/>
                    </wps:wsp>
                  </a:graphicData>
                </a:graphic>
              </wp:anchor>
            </w:drawing>
          </mc:Choice>
          <mc:Fallback>
            <w:pict>
              <v:shapetype w14:anchorId="452E0084" id="_x0000_t32" coordsize="21600,21600" o:spt="32" o:oned="t" path="m,l21600,21600e" filled="f">
                <v:path arrowok="t" fillok="f" o:connecttype="none"/>
                <o:lock v:ext="edit" shapetype="t"/>
              </v:shapetype>
              <v:shape id="Connecteur droit 2" o:spid="_x0000_s1026" type="#_x0000_t32" style="position:absolute;margin-left:152pt;margin-top:140.3pt;width:239.2pt;height:0;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" strokecolor="#f33" strokeweight="1.0099mm">
                <v:stroke endarrow="open" joinstyle="miter"/>
              </v:shape>
            </w:pict>
          </mc:Fallback>
        </mc:AlternateContent>
      </w:r>
      <w:r w:rsidR="00055B5A" w:rsidRPr="008354C2">
        <w:rPr>
          <w:rFonts w:asciiTheme="majorHAnsi" w:hAnsiTheme="majorHAnsi" w:cstheme="majorHAnsi"/>
          <w:noProof/>
          <w:sz w:val="24"/>
          <w:szCs w:val="24"/>
        </w:rPr>
        <w:drawing>
          <wp:anchor distT="0" distB="0" distL="114300" distR="114300" simplePos="0" relativeHeight="251662848" behindDoc="0" locked="0" layoutInCell="1" allowOverlap="1" wp14:anchorId="541D7A94" wp14:editId="551F5DF6">
            <wp:simplePos x="0" y="0"/>
            <wp:positionH relativeFrom="column">
              <wp:posOffset>455930</wp:posOffset>
            </wp:positionH>
            <wp:positionV relativeFrom="paragraph">
              <wp:posOffset>546735</wp:posOffset>
            </wp:positionV>
            <wp:extent cx="4881880" cy="3554730"/>
            <wp:effectExtent l="0" t="0" r="0" b="699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881880" cy="3554730"/>
                    </a:xfrm>
                    <a:prstGeom prst="rect">
                      <a:avLst/>
                    </a:prstGeom>
                    <a:noFill/>
                    <a:ln>
                      <a:noFill/>
                      <a:prstDash/>
                    </a:ln>
                  </pic:spPr>
                </pic:pic>
              </a:graphicData>
            </a:graphic>
          </wp:anchor>
        </w:drawing>
      </w:r>
      <w:r w:rsidR="00C838AC" w:rsidRPr="008354C2">
        <w:rPr>
          <w:rFonts w:asciiTheme="majorHAnsi" w:hAnsiTheme="majorHAnsi" w:cstheme="majorHAnsi"/>
          <w:i/>
          <w:sz w:val="24"/>
          <w:szCs w:val="24"/>
        </w:rPr>
        <w:t xml:space="preserve">Source : AMF - Investir quand on est une association, une fondation ou une autre institution </w:t>
      </w:r>
      <w:r>
        <w:rPr>
          <w:rFonts w:asciiTheme="majorHAnsi" w:hAnsiTheme="majorHAnsi" w:cstheme="majorHAnsi"/>
          <w:i/>
          <w:sz w:val="24"/>
          <w:szCs w:val="24"/>
        </w:rPr>
        <w:t>-</w:t>
      </w:r>
      <w:r w:rsidR="00C838AC" w:rsidRPr="008354C2">
        <w:rPr>
          <w:rFonts w:asciiTheme="majorHAnsi" w:hAnsiTheme="majorHAnsi" w:cstheme="majorHAnsi"/>
          <w:i/>
          <w:sz w:val="24"/>
          <w:szCs w:val="24"/>
        </w:rPr>
        <w:t xml:space="preserve"> </w:t>
      </w:r>
      <w:r w:rsidR="00055B5A" w:rsidRPr="008354C2">
        <w:rPr>
          <w:rFonts w:asciiTheme="majorHAnsi" w:hAnsiTheme="majorHAnsi" w:cstheme="majorHAnsi"/>
          <w:i/>
          <w:sz w:val="24"/>
          <w:szCs w:val="24"/>
        </w:rPr>
        <w:t>les bonnes pratiques</w:t>
      </w:r>
    </w:p>
    <w:p w14:paraId="27250622" w14:textId="385BEF99"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Chaque produit financier dispose de son propre </w:t>
      </w:r>
      <w:r w:rsidRPr="00C94C30">
        <w:rPr>
          <w:rFonts w:asciiTheme="majorHAnsi" w:hAnsiTheme="majorHAnsi" w:cstheme="majorHAnsi"/>
          <w:bCs/>
          <w:sz w:val="24"/>
          <w:szCs w:val="24"/>
        </w:rPr>
        <w:t>couple « risque – rendement »</w:t>
      </w:r>
      <w:r w:rsidRPr="008354C2">
        <w:rPr>
          <w:rFonts w:asciiTheme="majorHAnsi" w:hAnsiTheme="majorHAnsi" w:cstheme="majorHAnsi"/>
          <w:sz w:val="24"/>
          <w:szCs w:val="24"/>
        </w:rPr>
        <w:t xml:space="preserve"> qu’il faut analyser. Le paramètre de la </w:t>
      </w:r>
      <w:r w:rsidRPr="00BD1594">
        <w:rPr>
          <w:rFonts w:asciiTheme="majorHAnsi" w:hAnsiTheme="majorHAnsi" w:cstheme="majorHAnsi"/>
          <w:b/>
          <w:sz w:val="24"/>
          <w:szCs w:val="24"/>
        </w:rPr>
        <w:t>l</w:t>
      </w:r>
      <w:r w:rsidRPr="00BD1594">
        <w:rPr>
          <w:rFonts w:asciiTheme="majorHAnsi" w:hAnsiTheme="majorHAnsi" w:cstheme="majorHAnsi"/>
          <w:b/>
          <w:bCs/>
          <w:sz w:val="24"/>
          <w:szCs w:val="24"/>
        </w:rPr>
        <w:t>iquidité</w:t>
      </w:r>
      <w:r w:rsidRPr="008354C2">
        <w:rPr>
          <w:rFonts w:asciiTheme="majorHAnsi" w:hAnsiTheme="majorHAnsi" w:cstheme="majorHAnsi"/>
          <w:b/>
          <w:bCs/>
          <w:sz w:val="24"/>
          <w:szCs w:val="24"/>
        </w:rPr>
        <w:t xml:space="preserve"> (possibilité de se défaire plus ou moins rapidement d’un actif</w:t>
      </w:r>
      <w:r w:rsidRPr="008354C2">
        <w:rPr>
          <w:rFonts w:asciiTheme="majorHAnsi" w:hAnsiTheme="majorHAnsi" w:cstheme="majorHAnsi"/>
          <w:sz w:val="24"/>
          <w:szCs w:val="24"/>
        </w:rPr>
        <w:t xml:space="preserve"> une fois la décision prise) est tout aussi fondamental. </w:t>
      </w:r>
      <w:r w:rsidRPr="00A455E3">
        <w:rPr>
          <w:rFonts w:asciiTheme="majorHAnsi" w:hAnsiTheme="majorHAnsi" w:cstheme="majorHAnsi"/>
          <w:bCs/>
          <w:sz w:val="24"/>
          <w:szCs w:val="24"/>
        </w:rPr>
        <w:t xml:space="preserve">Le schéma ci-dessus, tiré du Guide de </w:t>
      </w:r>
      <w:r w:rsidR="00273828">
        <w:rPr>
          <w:rFonts w:asciiTheme="majorHAnsi" w:hAnsiTheme="majorHAnsi" w:cstheme="majorHAnsi"/>
          <w:bCs/>
          <w:sz w:val="24"/>
          <w:szCs w:val="24"/>
        </w:rPr>
        <w:t>l’AMF</w:t>
      </w:r>
      <w:r w:rsidRPr="00A455E3">
        <w:rPr>
          <w:rFonts w:asciiTheme="majorHAnsi" w:hAnsiTheme="majorHAnsi" w:cstheme="majorHAnsi"/>
          <w:bCs/>
          <w:sz w:val="24"/>
          <w:szCs w:val="24"/>
        </w:rPr>
        <w:t>, montre qu'</w:t>
      </w:r>
      <w:r w:rsidRPr="008354C2">
        <w:rPr>
          <w:rFonts w:asciiTheme="majorHAnsi" w:hAnsiTheme="majorHAnsi" w:cstheme="majorHAnsi"/>
          <w:b/>
          <w:bCs/>
          <w:sz w:val="24"/>
          <w:szCs w:val="24"/>
        </w:rPr>
        <w:t>à chaque typologie d'actif correspond un couple « risque – rendement » particulier mais également un horizon de placement préconisé. Un actif risqué et volatil aura davantage de chances de s'apprécier sur une durée longue.</w:t>
      </w:r>
    </w:p>
    <w:p w14:paraId="1B060831" w14:textId="2A3129C8" w:rsidR="001C2778"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La lecture est la suivante</w:t>
      </w:r>
      <w:r w:rsidR="002F4407">
        <w:rPr>
          <w:rFonts w:asciiTheme="majorHAnsi" w:hAnsiTheme="majorHAnsi" w:cstheme="majorHAnsi"/>
          <w:sz w:val="24"/>
          <w:szCs w:val="24"/>
        </w:rPr>
        <w:t xml:space="preserve"> (deux exemples) :</w:t>
      </w:r>
      <w:r w:rsidRPr="008354C2">
        <w:rPr>
          <w:rFonts w:asciiTheme="majorHAnsi" w:hAnsiTheme="majorHAnsi" w:cstheme="majorHAnsi"/>
          <w:sz w:val="24"/>
          <w:szCs w:val="24"/>
        </w:rPr>
        <w:t xml:space="preserve"> </w:t>
      </w:r>
    </w:p>
    <w:p w14:paraId="1A79F71F" w14:textId="76844220" w:rsidR="002F4407" w:rsidRDefault="001C2778" w:rsidP="001C2778">
      <w:pPr>
        <w:pStyle w:val="Standard"/>
        <w:numPr>
          <w:ilvl w:val="0"/>
          <w:numId w:val="38"/>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 </w:t>
      </w:r>
      <w:r w:rsidR="00C838AC" w:rsidRPr="008354C2">
        <w:rPr>
          <w:rFonts w:asciiTheme="majorHAnsi" w:hAnsiTheme="majorHAnsi" w:cstheme="majorHAnsi"/>
          <w:sz w:val="24"/>
          <w:szCs w:val="24"/>
        </w:rPr>
        <w:t>monétaire correspond à un horizon de placement court terme, il est assez peu risqué et liquide</w:t>
      </w:r>
      <w:r w:rsidR="002F4407">
        <w:rPr>
          <w:rFonts w:asciiTheme="majorHAnsi" w:hAnsiTheme="majorHAnsi" w:cstheme="majorHAnsi"/>
          <w:sz w:val="24"/>
          <w:szCs w:val="24"/>
        </w:rPr>
        <w:t> ;</w:t>
      </w:r>
    </w:p>
    <w:p w14:paraId="52690464" w14:textId="3884211D" w:rsidR="00C838AC" w:rsidRPr="008354C2" w:rsidRDefault="00C838AC" w:rsidP="001C2778">
      <w:pPr>
        <w:pStyle w:val="Standard"/>
        <w:numPr>
          <w:ilvl w:val="0"/>
          <w:numId w:val="38"/>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Les actions des grandes sociétés du CAC 40</w:t>
      </w:r>
      <w:r w:rsidR="002F4407">
        <w:rPr>
          <w:rFonts w:asciiTheme="majorHAnsi" w:hAnsiTheme="majorHAnsi" w:cstheme="majorHAnsi"/>
          <w:sz w:val="24"/>
          <w:szCs w:val="24"/>
        </w:rPr>
        <w:t xml:space="preserve"> </w:t>
      </w:r>
      <w:r w:rsidRPr="008354C2">
        <w:rPr>
          <w:rFonts w:asciiTheme="majorHAnsi" w:hAnsiTheme="majorHAnsi" w:cstheme="majorHAnsi"/>
          <w:sz w:val="24"/>
          <w:szCs w:val="24"/>
        </w:rPr>
        <w:t>sont tout aussi liquides sur les marchés mais le risque de perte en capital est plus élevé et l’horizon de placement plus long (environ 5 ans).</w:t>
      </w:r>
    </w:p>
    <w:p w14:paraId="7A488029" w14:textId="22850D08" w:rsidR="002F4407" w:rsidRPr="002F14E3" w:rsidRDefault="002F4407" w:rsidP="00AA2C07">
      <w:pPr>
        <w:pStyle w:val="Sansinterligne"/>
      </w:pPr>
      <w:r w:rsidRPr="002F14E3">
        <w:lastRenderedPageBreak/>
        <w:t>Attention !</w:t>
      </w:r>
    </w:p>
    <w:p w14:paraId="21DA5974" w14:textId="1C7935E6" w:rsidR="00C838AC" w:rsidRDefault="00C838AC" w:rsidP="00AA2C07">
      <w:pPr>
        <w:pStyle w:val="Paragraphedeliste"/>
        <w:numPr>
          <w:ilvl w:val="0"/>
          <w:numId w:val="41"/>
        </w:numPr>
      </w:pPr>
      <w:r w:rsidRPr="002F14E3">
        <w:rPr>
          <w:b/>
        </w:rPr>
        <w:t>Les produits situés au-dessus de la flèche rouge</w:t>
      </w:r>
      <w:r w:rsidRPr="008354C2">
        <w:t xml:space="preserve"> sur le graphique sont, pour la </w:t>
      </w:r>
      <w:proofErr w:type="spellStart"/>
      <w:r w:rsidRPr="008354C2">
        <w:t>Fnogec</w:t>
      </w:r>
      <w:proofErr w:type="spellEnd"/>
      <w:r w:rsidRPr="008354C2">
        <w:t>, trop risqués en capital, trop peu liquides et font appel à des compétences dont ne disposent pas les O</w:t>
      </w:r>
      <w:r w:rsidR="002F4407">
        <w:t>gec</w:t>
      </w:r>
      <w:r w:rsidRPr="008354C2">
        <w:t xml:space="preserve">. </w:t>
      </w:r>
      <w:r w:rsidRPr="002F14E3">
        <w:rPr>
          <w:b/>
        </w:rPr>
        <w:t xml:space="preserve">La </w:t>
      </w:r>
      <w:proofErr w:type="spellStart"/>
      <w:r w:rsidRPr="002F14E3">
        <w:rPr>
          <w:b/>
        </w:rPr>
        <w:t>Fnogec</w:t>
      </w:r>
      <w:proofErr w:type="spellEnd"/>
      <w:r w:rsidRPr="002F14E3">
        <w:rPr>
          <w:b/>
        </w:rPr>
        <w:t xml:space="preserve"> les déconseille fermement, quels que soient les professionnels qui les proposent.</w:t>
      </w:r>
    </w:p>
    <w:p w14:paraId="5EBB969E" w14:textId="77777777" w:rsidR="002F14E3" w:rsidRPr="007C03DE" w:rsidRDefault="002F14E3" w:rsidP="00AA2C07">
      <w:pPr>
        <w:pStyle w:val="Paragraphedeliste"/>
        <w:numPr>
          <w:ilvl w:val="0"/>
          <w:numId w:val="41"/>
        </w:numPr>
      </w:pPr>
      <w:r w:rsidRPr="007C03DE">
        <w:t>De façon générale, tout accroissement du rendement potentiel d’un produit s’accompagne d’une augmentation du risque qui lui est associé.</w:t>
      </w:r>
    </w:p>
    <w:p w14:paraId="5D8E20CF" w14:textId="40EF978F" w:rsidR="002F14E3" w:rsidRPr="008354C2" w:rsidRDefault="002F14E3" w:rsidP="00AA2C07">
      <w:pPr>
        <w:pStyle w:val="Paragraphedeliste"/>
        <w:numPr>
          <w:ilvl w:val="0"/>
          <w:numId w:val="41"/>
        </w:numPr>
        <w:rPr>
          <w:b/>
        </w:rPr>
      </w:pPr>
      <w:r w:rsidRPr="004E0383">
        <w:t xml:space="preserve">Le </w:t>
      </w:r>
      <w:r w:rsidR="004E0383" w:rsidRPr="004E0383">
        <w:t>c</w:t>
      </w:r>
      <w:r w:rsidRPr="004E0383">
        <w:t xml:space="preserve">onseil d’administration de la </w:t>
      </w:r>
      <w:proofErr w:type="spellStart"/>
      <w:r w:rsidRPr="004E0383">
        <w:t>Fnogec</w:t>
      </w:r>
      <w:proofErr w:type="spellEnd"/>
      <w:r w:rsidRPr="004E0383">
        <w:t xml:space="preserve"> a réitéré en 2018 sa</w:t>
      </w:r>
      <w:r w:rsidRPr="008354C2">
        <w:rPr>
          <w:b/>
        </w:rPr>
        <w:t xml:space="preserve"> préconisation d’éviter tout produit présentant un risque de perte en capital, </w:t>
      </w:r>
      <w:r w:rsidRPr="004E0383">
        <w:t xml:space="preserve">ce qui suppose donc, dans le schéma ci-dessus, </w:t>
      </w:r>
      <w:r w:rsidRPr="007C03DE">
        <w:rPr>
          <w:u w:val="single"/>
        </w:rPr>
        <w:t>de se tenir à l’écart des actions grandes capitalisations et des placements obligataires.</w:t>
      </w:r>
    </w:p>
    <w:p w14:paraId="711571CC" w14:textId="77777777" w:rsidR="002F14E3" w:rsidRPr="002F14E3" w:rsidRDefault="002F14E3" w:rsidP="002F14E3">
      <w:pPr>
        <w:rPr>
          <w:lang w:eastAsia="en-US"/>
        </w:rPr>
      </w:pPr>
    </w:p>
    <w:p w14:paraId="4FA32FCE" w14:textId="16586FCE" w:rsidR="00C838AC" w:rsidRPr="008354C2" w:rsidRDefault="00C838AC" w:rsidP="003031D1">
      <w:pPr>
        <w:pStyle w:val="Titre1"/>
      </w:pPr>
      <w:r w:rsidRPr="008354C2">
        <w:t>Les différents modes de gestion</w:t>
      </w:r>
      <w:r w:rsidR="001C2778">
        <w:t> :</w:t>
      </w:r>
    </w:p>
    <w:p w14:paraId="426DC814"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Les placements peuvent être réalisés </w:t>
      </w:r>
      <w:r w:rsidRPr="008354C2">
        <w:rPr>
          <w:rFonts w:asciiTheme="majorHAnsi" w:hAnsiTheme="majorHAnsi" w:cstheme="majorHAnsi"/>
          <w:b/>
          <w:bCs/>
          <w:sz w:val="24"/>
          <w:szCs w:val="24"/>
        </w:rPr>
        <w:t>en direct ou via des organismes de placement collectif (OPC)</w:t>
      </w:r>
      <w:r w:rsidRPr="008354C2">
        <w:rPr>
          <w:rFonts w:asciiTheme="majorHAnsi" w:hAnsiTheme="majorHAnsi" w:cstheme="majorHAnsi"/>
          <w:sz w:val="24"/>
          <w:szCs w:val="24"/>
        </w:rPr>
        <w:t>.</w:t>
      </w:r>
    </w:p>
    <w:p w14:paraId="08A183BB"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 principal avantage de cette formule est de proposer une réponse aux objectifs et au niveau de risque recherchés par le client </w:t>
      </w:r>
      <w:r w:rsidRPr="008354C2">
        <w:rPr>
          <w:rFonts w:asciiTheme="majorHAnsi" w:hAnsiTheme="majorHAnsi" w:cstheme="majorHAnsi"/>
          <w:b/>
          <w:bCs/>
          <w:sz w:val="24"/>
          <w:szCs w:val="24"/>
        </w:rPr>
        <w:t>sans le contraindre à investir en direct</w:t>
      </w:r>
      <w:r w:rsidRPr="008354C2">
        <w:rPr>
          <w:rFonts w:asciiTheme="majorHAnsi" w:hAnsiTheme="majorHAnsi" w:cstheme="majorHAnsi"/>
          <w:sz w:val="24"/>
          <w:szCs w:val="24"/>
        </w:rPr>
        <w:t xml:space="preserve"> sur les marchés (exemple : 80% monétaire en euros, 20% en actions françaises ou européennes). Une telle formule permet de limiter le risque en pouvant éventuellement bénéficier, sur 20% du capital, d'une espérance de performance des marchés.</w:t>
      </w:r>
    </w:p>
    <w:p w14:paraId="374755F4" w14:textId="32C653F4"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Il convien</w:t>
      </w:r>
      <w:r w:rsidR="00F026C3">
        <w:rPr>
          <w:rFonts w:asciiTheme="majorHAnsi" w:hAnsiTheme="majorHAnsi" w:cstheme="majorHAnsi"/>
          <w:sz w:val="24"/>
          <w:szCs w:val="24"/>
        </w:rPr>
        <w:t>t</w:t>
      </w:r>
      <w:r w:rsidRPr="008354C2">
        <w:rPr>
          <w:rFonts w:asciiTheme="majorHAnsi" w:hAnsiTheme="majorHAnsi" w:cstheme="majorHAnsi"/>
          <w:sz w:val="24"/>
          <w:szCs w:val="24"/>
        </w:rPr>
        <w:t xml:space="preserve"> de distinguer les produits collectifs dits de </w:t>
      </w:r>
      <w:r w:rsidRPr="008354C2">
        <w:rPr>
          <w:rFonts w:asciiTheme="majorHAnsi" w:hAnsiTheme="majorHAnsi" w:cstheme="majorHAnsi"/>
          <w:b/>
          <w:bCs/>
          <w:sz w:val="24"/>
          <w:szCs w:val="24"/>
        </w:rPr>
        <w:t>distribution</w:t>
      </w:r>
      <w:r w:rsidRPr="008354C2">
        <w:rPr>
          <w:rFonts w:asciiTheme="majorHAnsi" w:hAnsiTheme="majorHAnsi" w:cstheme="majorHAnsi"/>
          <w:sz w:val="24"/>
          <w:szCs w:val="24"/>
        </w:rPr>
        <w:t xml:space="preserve"> (qui distribuent tout ou partie de leurs revenus) et les produits dits de </w:t>
      </w:r>
      <w:r w:rsidRPr="008354C2">
        <w:rPr>
          <w:rFonts w:asciiTheme="majorHAnsi" w:hAnsiTheme="majorHAnsi" w:cstheme="majorHAnsi"/>
          <w:b/>
          <w:bCs/>
          <w:sz w:val="24"/>
          <w:szCs w:val="24"/>
        </w:rPr>
        <w:t>capitalisation</w:t>
      </w:r>
      <w:r w:rsidRPr="008354C2">
        <w:rPr>
          <w:rFonts w:asciiTheme="majorHAnsi" w:hAnsiTheme="majorHAnsi" w:cstheme="majorHAnsi"/>
          <w:sz w:val="24"/>
          <w:szCs w:val="24"/>
        </w:rPr>
        <w:t xml:space="preserve"> (qui réinvestissent automatiquement leurs revenus dans le fonds). </w:t>
      </w:r>
      <w:r w:rsidR="00C2363A">
        <w:rPr>
          <w:rFonts w:asciiTheme="majorHAnsi" w:hAnsiTheme="majorHAnsi" w:cstheme="majorHAnsi"/>
          <w:sz w:val="24"/>
          <w:szCs w:val="24"/>
        </w:rPr>
        <w:t>L’</w:t>
      </w:r>
      <w:r w:rsidRPr="008354C2">
        <w:rPr>
          <w:rFonts w:asciiTheme="majorHAnsi" w:hAnsiTheme="majorHAnsi" w:cstheme="majorHAnsi"/>
          <w:b/>
          <w:bCs/>
          <w:sz w:val="24"/>
          <w:szCs w:val="24"/>
        </w:rPr>
        <w:t xml:space="preserve">impact fiscal </w:t>
      </w:r>
      <w:r w:rsidR="00C2363A">
        <w:rPr>
          <w:rFonts w:asciiTheme="majorHAnsi" w:hAnsiTheme="majorHAnsi" w:cstheme="majorHAnsi"/>
          <w:sz w:val="24"/>
          <w:szCs w:val="24"/>
        </w:rPr>
        <w:t xml:space="preserve">est à </w:t>
      </w:r>
      <w:r w:rsidR="00A67412">
        <w:rPr>
          <w:rFonts w:asciiTheme="majorHAnsi" w:hAnsiTheme="majorHAnsi" w:cstheme="majorHAnsi"/>
          <w:sz w:val="24"/>
          <w:szCs w:val="24"/>
        </w:rPr>
        <w:t>prendre en compte</w:t>
      </w:r>
      <w:r w:rsidRPr="008354C2">
        <w:rPr>
          <w:rFonts w:asciiTheme="majorHAnsi" w:hAnsiTheme="majorHAnsi" w:cstheme="majorHAnsi"/>
          <w:sz w:val="24"/>
          <w:szCs w:val="24"/>
        </w:rPr>
        <w:t>.</w:t>
      </w:r>
    </w:p>
    <w:p w14:paraId="46B9543F" w14:textId="59DB277F" w:rsidR="00C838AC" w:rsidRPr="008354C2" w:rsidRDefault="00C838AC" w:rsidP="003031D1">
      <w:pPr>
        <w:pStyle w:val="Titre1"/>
      </w:pPr>
      <w:r w:rsidRPr="008354C2">
        <w:t>Structure des frais liés à l'investissement en OPC</w:t>
      </w:r>
      <w:r w:rsidR="00160CC7">
        <w:t> :</w:t>
      </w:r>
    </w:p>
    <w:p w14:paraId="4EE1D039"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Les frais sont </w:t>
      </w:r>
      <w:r w:rsidRPr="008354C2">
        <w:rPr>
          <w:rFonts w:asciiTheme="majorHAnsi" w:hAnsiTheme="majorHAnsi" w:cstheme="majorHAnsi"/>
          <w:b/>
          <w:bCs/>
          <w:i/>
          <w:iCs/>
          <w:sz w:val="24"/>
          <w:szCs w:val="24"/>
        </w:rPr>
        <w:t>facilement identifiables et comparables</w:t>
      </w:r>
      <w:r w:rsidRPr="008354C2">
        <w:rPr>
          <w:rFonts w:asciiTheme="majorHAnsi" w:hAnsiTheme="majorHAnsi" w:cstheme="majorHAnsi"/>
          <w:sz w:val="24"/>
          <w:szCs w:val="24"/>
        </w:rPr>
        <w:t xml:space="preserve"> dans les prospectus des différents fonds d’investissement. Les principaux frais des OPC sont :</w:t>
      </w:r>
    </w:p>
    <w:p w14:paraId="47FE04A8" w14:textId="77777777" w:rsidR="00C838AC" w:rsidRPr="008354C2" w:rsidRDefault="00C838AC" w:rsidP="007805CA">
      <w:pPr>
        <w:pStyle w:val="Standard"/>
        <w:numPr>
          <w:ilvl w:val="0"/>
          <w:numId w:val="19"/>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Les frais d’entrée et de sortie : i</w:t>
      </w:r>
      <w:r w:rsidRPr="008354C2">
        <w:rPr>
          <w:rFonts w:asciiTheme="majorHAnsi" w:hAnsiTheme="majorHAnsi" w:cstheme="majorHAnsi"/>
          <w:sz w:val="24"/>
          <w:szCs w:val="24"/>
        </w:rPr>
        <w:t xml:space="preserve">ls sont payés lors de la souscription et du rachat. </w:t>
      </w:r>
      <w:r w:rsidRPr="008354C2">
        <w:rPr>
          <w:rFonts w:asciiTheme="majorHAnsi" w:hAnsiTheme="majorHAnsi" w:cstheme="majorHAnsi"/>
          <w:b/>
          <w:bCs/>
          <w:sz w:val="24"/>
          <w:szCs w:val="24"/>
        </w:rPr>
        <w:t xml:space="preserve">Une partie de ces frais est </w:t>
      </w:r>
      <w:r w:rsidRPr="008354C2">
        <w:rPr>
          <w:rFonts w:asciiTheme="majorHAnsi" w:hAnsiTheme="majorHAnsi" w:cstheme="majorHAnsi"/>
          <w:b/>
          <w:bCs/>
          <w:i/>
          <w:iCs/>
          <w:sz w:val="24"/>
          <w:szCs w:val="24"/>
        </w:rPr>
        <w:t>négociable</w:t>
      </w:r>
      <w:r w:rsidRPr="008354C2">
        <w:rPr>
          <w:rFonts w:asciiTheme="majorHAnsi" w:hAnsiTheme="majorHAnsi" w:cstheme="majorHAnsi"/>
          <w:b/>
          <w:bCs/>
          <w:sz w:val="24"/>
          <w:szCs w:val="24"/>
        </w:rPr>
        <w:t>.</w:t>
      </w:r>
    </w:p>
    <w:p w14:paraId="770574B9" w14:textId="77777777" w:rsidR="00C838AC" w:rsidRPr="008354C2" w:rsidRDefault="00C838AC" w:rsidP="007805CA">
      <w:pPr>
        <w:pStyle w:val="Standard"/>
        <w:numPr>
          <w:ilvl w:val="0"/>
          <w:numId w:val="19"/>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Les frais courants</w:t>
      </w:r>
      <w:r w:rsidRPr="008354C2">
        <w:rPr>
          <w:rFonts w:asciiTheme="majorHAnsi" w:hAnsiTheme="majorHAnsi" w:cstheme="majorHAnsi"/>
          <w:sz w:val="24"/>
          <w:szCs w:val="24"/>
        </w:rPr>
        <w:t xml:space="preserve"> représentent l’ensemble des frais facturés nets à l’OPC. La standardisation de ces frais permet d’avoir une vision globale et transparente des frais </w:t>
      </w:r>
      <w:r w:rsidRPr="008354C2">
        <w:rPr>
          <w:rFonts w:asciiTheme="majorHAnsi" w:hAnsiTheme="majorHAnsi" w:cstheme="majorHAnsi"/>
          <w:sz w:val="24"/>
          <w:szCs w:val="24"/>
        </w:rPr>
        <w:lastRenderedPageBreak/>
        <w:t>prélevés. Il convient de noter que certaines stratégies induisent une rotation élevée du portefeuille et donc des commissions de mouvements importantes.</w:t>
      </w:r>
    </w:p>
    <w:p w14:paraId="275BD94A" w14:textId="77777777" w:rsidR="00C838AC" w:rsidRPr="008354C2" w:rsidRDefault="00C838AC" w:rsidP="007805CA">
      <w:pPr>
        <w:pStyle w:val="Standard"/>
        <w:numPr>
          <w:ilvl w:val="0"/>
          <w:numId w:val="19"/>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La commission de surperformance </w:t>
      </w:r>
      <w:r w:rsidRPr="008354C2">
        <w:rPr>
          <w:rFonts w:asciiTheme="majorHAnsi" w:hAnsiTheme="majorHAnsi" w:cstheme="majorHAnsi"/>
          <w:bCs/>
          <w:sz w:val="24"/>
          <w:szCs w:val="24"/>
        </w:rPr>
        <w:t>rémunère le gestionnaire du fonds lorsque l’objectif préalablement fixé est dépassé. Le calcul de la commission peut dépendre de la surperformance du fonds par rapport à un indice de référence ou par rapport à un taux de rendement à atteindre sur une période de référence donnée.</w:t>
      </w:r>
    </w:p>
    <w:p w14:paraId="09ABBDEF" w14:textId="77777777" w:rsidR="00C838AC" w:rsidRPr="008354C2" w:rsidRDefault="00C838AC" w:rsidP="003031D1">
      <w:pPr>
        <w:pStyle w:val="Titre1"/>
      </w:pPr>
      <w:r w:rsidRPr="008354C2">
        <w:t>Vocabulaire technique :</w:t>
      </w:r>
    </w:p>
    <w:p w14:paraId="1CA22955" w14:textId="3E29642A" w:rsidR="00C838AC" w:rsidRPr="008354C2" w:rsidRDefault="00C838AC" w:rsidP="00992AB8">
      <w:pPr>
        <w:pStyle w:val="Titre4"/>
      </w:pPr>
      <w:r w:rsidRPr="008354C2">
        <w:t>Distinction entre les SICAV et les FCP</w:t>
      </w:r>
    </w:p>
    <w:p w14:paraId="14185B80"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Les </w:t>
      </w:r>
      <w:r w:rsidRPr="008354C2">
        <w:rPr>
          <w:rFonts w:asciiTheme="majorHAnsi" w:hAnsiTheme="majorHAnsi" w:cstheme="majorHAnsi"/>
          <w:b/>
          <w:bCs/>
          <w:sz w:val="24"/>
          <w:szCs w:val="24"/>
        </w:rPr>
        <w:t xml:space="preserve">OPCVM (organismes de placement collectif en valeurs mobilières) et les FIA (fonds d’investissement alternatif </w:t>
      </w:r>
      <w:r w:rsidRPr="008354C2">
        <w:rPr>
          <w:rFonts w:asciiTheme="majorHAnsi" w:hAnsiTheme="majorHAnsi" w:cstheme="majorHAnsi"/>
          <w:sz w:val="24"/>
          <w:szCs w:val="24"/>
        </w:rPr>
        <w:t xml:space="preserve">– on peut y trouver de l'immobilier ou du capital risque par exemple) sont généralement constitués sous la forme de </w:t>
      </w:r>
      <w:r w:rsidRPr="008354C2">
        <w:rPr>
          <w:rFonts w:asciiTheme="majorHAnsi" w:hAnsiTheme="majorHAnsi" w:cstheme="majorHAnsi"/>
          <w:b/>
          <w:bCs/>
          <w:sz w:val="24"/>
          <w:szCs w:val="24"/>
        </w:rPr>
        <w:t>SICAV</w:t>
      </w:r>
      <w:r w:rsidRPr="008354C2">
        <w:rPr>
          <w:rFonts w:asciiTheme="majorHAnsi" w:hAnsiTheme="majorHAnsi" w:cstheme="majorHAnsi"/>
          <w:sz w:val="24"/>
          <w:szCs w:val="24"/>
        </w:rPr>
        <w:t xml:space="preserve"> ou de </w:t>
      </w:r>
      <w:r w:rsidRPr="008354C2">
        <w:rPr>
          <w:rFonts w:asciiTheme="majorHAnsi" w:hAnsiTheme="majorHAnsi" w:cstheme="majorHAnsi"/>
          <w:b/>
          <w:bCs/>
          <w:sz w:val="24"/>
          <w:szCs w:val="24"/>
        </w:rPr>
        <w:t>FCP</w:t>
      </w:r>
      <w:r w:rsidRPr="008354C2">
        <w:rPr>
          <w:rFonts w:asciiTheme="majorHAnsi" w:hAnsiTheme="majorHAnsi" w:cstheme="majorHAnsi"/>
          <w:bCs/>
          <w:sz w:val="24"/>
          <w:szCs w:val="24"/>
        </w:rPr>
        <w:t> </w:t>
      </w:r>
      <w:r w:rsidRPr="008354C2">
        <w:rPr>
          <w:rFonts w:asciiTheme="majorHAnsi" w:hAnsiTheme="majorHAnsi" w:cstheme="majorHAnsi"/>
          <w:sz w:val="24"/>
          <w:szCs w:val="24"/>
        </w:rPr>
        <w:t>:</w:t>
      </w:r>
    </w:p>
    <w:p w14:paraId="057B0B21" w14:textId="77777777" w:rsidR="00C838AC" w:rsidRPr="008354C2" w:rsidRDefault="00C838AC" w:rsidP="007805CA">
      <w:pPr>
        <w:pStyle w:val="Standard"/>
        <w:numPr>
          <w:ilvl w:val="0"/>
          <w:numId w:val="20"/>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Les SICAV (sociétés d’investissement à capital variable) émettent des actions, elles possèdent la personnalité morale et leur propre gouvernance, l’investisseur en SICAV en devient actionnaire.</w:t>
      </w:r>
    </w:p>
    <w:p w14:paraId="5C66AB5B" w14:textId="77777777" w:rsidR="00C838AC" w:rsidRPr="008354C2" w:rsidRDefault="00C838AC" w:rsidP="007805CA">
      <w:pPr>
        <w:pStyle w:val="Standard"/>
        <w:numPr>
          <w:ilvl w:val="0"/>
          <w:numId w:val="20"/>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En achetant des parts de FCP (fonds commun de placement), un investisseur devient membre d’une copropriété de valeurs mobilières mais ne dispose d’aucun droit de vote. Il n’en est pas actionnaire.</w:t>
      </w:r>
    </w:p>
    <w:p w14:paraId="69C8AF01" w14:textId="77777777" w:rsidR="00C838AC" w:rsidRPr="008354C2" w:rsidRDefault="00C838AC" w:rsidP="00992AB8">
      <w:pPr>
        <w:pStyle w:val="Titre4"/>
      </w:pPr>
      <w:r w:rsidRPr="008354C2">
        <w:t>La gestion passive et la gestion active</w:t>
      </w:r>
    </w:p>
    <w:p w14:paraId="52EE973F" w14:textId="77777777" w:rsidR="00C838AC" w:rsidRPr="008354C2" w:rsidRDefault="00C838AC" w:rsidP="007805CA">
      <w:pPr>
        <w:pStyle w:val="Standard"/>
        <w:numPr>
          <w:ilvl w:val="0"/>
          <w:numId w:val="21"/>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La gestion passive, également appelée gestion indicielle, a pour objectif de répliquer le plus fidèlement possible la performance d’un indice boursier.</w:t>
      </w:r>
    </w:p>
    <w:p w14:paraId="262D3C95" w14:textId="77777777" w:rsidR="00C838AC" w:rsidRPr="008354C2" w:rsidRDefault="00C838AC" w:rsidP="007805CA">
      <w:pPr>
        <w:pStyle w:val="Standard"/>
        <w:numPr>
          <w:ilvl w:val="0"/>
          <w:numId w:val="21"/>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La gestion est dite active lorsque le gérant cherche à surperformer un indice de référence en sélectionnant des titres de façon discrétionnaire en fonction de ses anticipations.</w:t>
      </w:r>
    </w:p>
    <w:p w14:paraId="3079DACD" w14:textId="77777777" w:rsidR="00C838AC" w:rsidRPr="008354C2" w:rsidRDefault="00C838AC" w:rsidP="00992AB8">
      <w:pPr>
        <w:pStyle w:val="Titre4"/>
      </w:pPr>
      <w:r w:rsidRPr="008354C2">
        <w:t>La gestion directe et/ou indirecte (multigestion)</w:t>
      </w:r>
    </w:p>
    <w:p w14:paraId="4DCBA691"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Certains OPC réalisent leurs investissements en direct, en achetant des titres sur les marchés financiers. Dans une stratégie de multi gestion, le fonds privilégiera un investissement indirect, via d’autres fonds (« fonds de fonds »). Cette distinction a un </w:t>
      </w:r>
      <w:r w:rsidRPr="008354C2">
        <w:rPr>
          <w:rFonts w:asciiTheme="majorHAnsi" w:hAnsiTheme="majorHAnsi" w:cstheme="majorHAnsi"/>
          <w:b/>
          <w:bCs/>
          <w:sz w:val="24"/>
          <w:szCs w:val="24"/>
        </w:rPr>
        <w:t>impact sur la structure tarifaire,</w:t>
      </w:r>
      <w:r w:rsidRPr="008354C2">
        <w:rPr>
          <w:rFonts w:asciiTheme="majorHAnsi" w:hAnsiTheme="majorHAnsi" w:cstheme="majorHAnsi"/>
          <w:sz w:val="24"/>
          <w:szCs w:val="24"/>
        </w:rPr>
        <w:t xml:space="preserve"> qu’il conviendra d’étudier avec attention.</w:t>
      </w:r>
    </w:p>
    <w:p w14:paraId="11DA709A" w14:textId="77777777" w:rsidR="00D17779" w:rsidRPr="008354C2" w:rsidRDefault="00D17779" w:rsidP="00992AB8">
      <w:pPr>
        <w:pStyle w:val="Titre4"/>
      </w:pPr>
      <w:r w:rsidRPr="008354C2">
        <w:lastRenderedPageBreak/>
        <w:t>La diversification, un concept essentiel</w:t>
      </w:r>
    </w:p>
    <w:p w14:paraId="0A3DC686" w14:textId="041E81D7" w:rsidR="00C838AC" w:rsidRPr="008354C2" w:rsidRDefault="00D17779" w:rsidP="00D17779">
      <w:pPr>
        <w:pStyle w:val="Standard"/>
        <w:spacing w:line="276" w:lineRule="auto"/>
        <w:rPr>
          <w:rFonts w:asciiTheme="majorHAnsi" w:hAnsiTheme="majorHAnsi" w:cstheme="majorHAnsi"/>
          <w:sz w:val="24"/>
          <w:szCs w:val="24"/>
        </w:rPr>
      </w:pPr>
      <w:r w:rsidRPr="008354C2">
        <w:rPr>
          <w:rFonts w:asciiTheme="majorHAnsi" w:hAnsiTheme="majorHAnsi" w:cstheme="majorHAnsi"/>
          <w:bCs/>
          <w:sz w:val="24"/>
          <w:szCs w:val="24"/>
        </w:rPr>
        <w:t xml:space="preserve">La diversification des investissements est une </w:t>
      </w:r>
      <w:r w:rsidRPr="00E500D9">
        <w:rPr>
          <w:rFonts w:asciiTheme="majorHAnsi" w:hAnsiTheme="majorHAnsi" w:cstheme="majorHAnsi"/>
          <w:b/>
          <w:bCs/>
          <w:sz w:val="24"/>
          <w:szCs w:val="24"/>
        </w:rPr>
        <w:t>méthode de gestion des risques</w:t>
      </w:r>
      <w:r w:rsidRPr="008354C2">
        <w:rPr>
          <w:rFonts w:asciiTheme="majorHAnsi" w:hAnsiTheme="majorHAnsi" w:cstheme="majorHAnsi"/>
          <w:bCs/>
          <w:sz w:val="24"/>
          <w:szCs w:val="24"/>
        </w:rPr>
        <w:t>. Une bonne diversification réduit les fluctuations de la valeur globale d’un investissement et procure une valorisation plus régulière du capital sur le long terme. </w:t>
      </w:r>
    </w:p>
    <w:p w14:paraId="7FB07F69" w14:textId="77777777" w:rsidR="00D17779" w:rsidRDefault="00C838AC" w:rsidP="007805CA">
      <w:pPr>
        <w:pStyle w:val="Standard"/>
        <w:spacing w:line="276" w:lineRule="auto"/>
        <w:rPr>
          <w:rFonts w:asciiTheme="majorHAnsi" w:hAnsiTheme="majorHAnsi" w:cstheme="majorHAnsi"/>
          <w:sz w:val="24"/>
          <w:szCs w:val="24"/>
        </w:rPr>
      </w:pPr>
      <w:r w:rsidRPr="008354C2">
        <w:rPr>
          <w:rFonts w:asciiTheme="majorHAnsi" w:hAnsiTheme="majorHAnsi" w:cstheme="majorHAnsi"/>
          <w:sz w:val="24"/>
          <w:szCs w:val="24"/>
        </w:rPr>
        <w:t xml:space="preserve">Encore une fois, la </w:t>
      </w:r>
      <w:proofErr w:type="spellStart"/>
      <w:r w:rsidRPr="008354C2">
        <w:rPr>
          <w:rFonts w:asciiTheme="majorHAnsi" w:hAnsiTheme="majorHAnsi" w:cstheme="majorHAnsi"/>
          <w:sz w:val="24"/>
          <w:szCs w:val="24"/>
        </w:rPr>
        <w:t>Fnogec</w:t>
      </w:r>
      <w:proofErr w:type="spellEnd"/>
      <w:r w:rsidRPr="008354C2">
        <w:rPr>
          <w:rFonts w:asciiTheme="majorHAnsi" w:hAnsiTheme="majorHAnsi" w:cstheme="majorHAnsi"/>
          <w:sz w:val="24"/>
          <w:szCs w:val="24"/>
        </w:rPr>
        <w:t xml:space="preserve"> déconseille les investissements à caractère trop risqué et technique pour que l'essentiel des OGEC puissent en assurer un choix et un suivi de qualité. </w:t>
      </w:r>
    </w:p>
    <w:p w14:paraId="64D90893" w14:textId="02086D24" w:rsidR="004A10CF" w:rsidRPr="00C65CE6" w:rsidRDefault="00C838AC" w:rsidP="00C65CE6">
      <w:pPr>
        <w:pStyle w:val="Sansinterligne"/>
        <w:jc w:val="center"/>
      </w:pPr>
      <w:r w:rsidRPr="00C65CE6">
        <w:t>il est impératif d'éviter :</w:t>
      </w:r>
    </w:p>
    <w:p w14:paraId="0A79A16E" w14:textId="7A944B48" w:rsidR="00C838AC" w:rsidRPr="008354C2" w:rsidRDefault="00C838AC" w:rsidP="004A10CF">
      <w:pPr>
        <w:pStyle w:val="Paragraphedeliste"/>
      </w:pPr>
      <w:r w:rsidRPr="00C65CE6">
        <w:rPr>
          <w:b/>
        </w:rPr>
        <w:t>Les fonds de capital investissement</w:t>
      </w:r>
      <w:r w:rsidRPr="008354C2">
        <w:t xml:space="preserve"> : les FCPR (fonds communs de placement à risques) sont investis en titres d’entreprises </w:t>
      </w:r>
      <w:r w:rsidRPr="004A10CF">
        <w:rPr>
          <w:i/>
          <w:iCs/>
        </w:rPr>
        <w:t>non cotées</w:t>
      </w:r>
      <w:r w:rsidRPr="004A10CF">
        <w:t xml:space="preserve"> à hauteur de 50 % minimum : </w:t>
      </w:r>
      <w:r w:rsidRPr="004727C8">
        <w:rPr>
          <w:b/>
          <w:i/>
          <w:iCs/>
        </w:rPr>
        <w:t>horizon de placement long, liquidité faible, risque en capital très élevé</w:t>
      </w:r>
      <w:r w:rsidRPr="004A10CF">
        <w:rPr>
          <w:i/>
          <w:iCs/>
        </w:rPr>
        <w:t> ;</w:t>
      </w:r>
    </w:p>
    <w:p w14:paraId="7732BD25" w14:textId="77777777" w:rsidR="00C838AC" w:rsidRPr="008354C2" w:rsidRDefault="00C838AC" w:rsidP="004A10CF">
      <w:pPr>
        <w:pStyle w:val="Paragraphedeliste"/>
      </w:pPr>
      <w:r w:rsidRPr="00C65CE6">
        <w:rPr>
          <w:b/>
        </w:rPr>
        <w:t>Les fonds immobiliers (SCPI et OPCI)</w:t>
      </w:r>
      <w:r w:rsidRPr="008354C2">
        <w:t xml:space="preserve"> : </w:t>
      </w:r>
      <w:r w:rsidRPr="004727C8">
        <w:rPr>
          <w:b/>
          <w:i/>
        </w:rPr>
        <w:t>risque élevé de perte en capital, liquidité non garantie, commission de gestion très élevée</w:t>
      </w:r>
      <w:r w:rsidRPr="008354C2">
        <w:t xml:space="preserve"> entre 8 et 10% des revenus annuels du support en général.</w:t>
      </w:r>
    </w:p>
    <w:p w14:paraId="708F1984" w14:textId="77777777" w:rsidR="00C838AC" w:rsidRPr="008354C2" w:rsidRDefault="00C838AC" w:rsidP="007805CA">
      <w:pPr>
        <w:spacing w:line="276" w:lineRule="auto"/>
        <w:rPr>
          <w:rFonts w:asciiTheme="majorHAnsi" w:hAnsiTheme="majorHAnsi" w:cstheme="majorHAnsi"/>
          <w:b/>
          <w:bCs/>
          <w:color w:val="0000FF"/>
        </w:rPr>
      </w:pPr>
      <w:r w:rsidRPr="008354C2">
        <w:rPr>
          <w:rFonts w:asciiTheme="majorHAnsi" w:hAnsiTheme="majorHAnsi" w:cstheme="majorHAnsi"/>
          <w:b/>
          <w:bCs/>
          <w:color w:val="0000FF"/>
        </w:rPr>
        <w:br w:type="page"/>
      </w:r>
    </w:p>
    <w:p w14:paraId="3CD2DE81" w14:textId="77777777" w:rsidR="00C838AC" w:rsidRPr="008354C2" w:rsidRDefault="00C838AC" w:rsidP="00ED03D3">
      <w:pPr>
        <w:pStyle w:val="Sansinterligne"/>
        <w:jc w:val="center"/>
      </w:pPr>
      <w:r w:rsidRPr="008354C2">
        <w:lastRenderedPageBreak/>
        <w:t>ANNEXE 1 : FICHES PRODUITS</w:t>
      </w:r>
    </w:p>
    <w:p w14:paraId="00AED6F4" w14:textId="77777777" w:rsidR="00C838AC" w:rsidRPr="008354C2" w:rsidRDefault="00C838AC" w:rsidP="003031D1">
      <w:pPr>
        <w:pStyle w:val="Titre1"/>
      </w:pPr>
      <w:r w:rsidRPr="008354C2">
        <w:t>Les obligations : définition et risques spécifiques</w:t>
      </w:r>
    </w:p>
    <w:p w14:paraId="4E790B2F"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Une obligation est une </w:t>
      </w:r>
      <w:r w:rsidRPr="008354C2">
        <w:rPr>
          <w:rFonts w:asciiTheme="majorHAnsi" w:hAnsiTheme="majorHAnsi" w:cstheme="majorHAnsi"/>
          <w:b/>
          <w:bCs/>
          <w:sz w:val="24"/>
          <w:szCs w:val="24"/>
        </w:rPr>
        <w:t>part d’un emprunt émis par une entreprise, une entité du secteur public ou l’État (l’émetteur)</w:t>
      </w:r>
      <w:r w:rsidRPr="008354C2">
        <w:rPr>
          <w:rFonts w:asciiTheme="majorHAnsi" w:hAnsiTheme="majorHAnsi" w:cstheme="majorHAnsi"/>
          <w:sz w:val="24"/>
          <w:szCs w:val="24"/>
        </w:rPr>
        <w:t>. Le porteur d’une obligation reçoit généralement un intérêt versé périodiquement et calculé en fonction de la valeur nominale du titre (le « coupon »).</w:t>
      </w:r>
    </w:p>
    <w:p w14:paraId="14AEDAED"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Les différents types d’obligations :</w:t>
      </w:r>
    </w:p>
    <w:p w14:paraId="131174AA" w14:textId="77777777" w:rsidR="00C838AC" w:rsidRPr="008354C2" w:rsidRDefault="00C838AC" w:rsidP="007805CA">
      <w:pPr>
        <w:pStyle w:val="Standard"/>
        <w:numPr>
          <w:ilvl w:val="0"/>
          <w:numId w:val="23"/>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L’obligation </w:t>
      </w:r>
      <w:r w:rsidRPr="008354C2">
        <w:rPr>
          <w:rFonts w:asciiTheme="majorHAnsi" w:hAnsiTheme="majorHAnsi" w:cstheme="majorHAnsi"/>
          <w:b/>
          <w:bCs/>
          <w:i/>
          <w:iCs/>
          <w:sz w:val="24"/>
          <w:szCs w:val="24"/>
        </w:rPr>
        <w:t>à taux fixe</w:t>
      </w:r>
      <w:r w:rsidRPr="008354C2">
        <w:rPr>
          <w:rFonts w:asciiTheme="majorHAnsi" w:hAnsiTheme="majorHAnsi" w:cstheme="majorHAnsi"/>
          <w:sz w:val="24"/>
          <w:szCs w:val="24"/>
        </w:rPr>
        <w:t xml:space="preserve"> est la plus répandue et permet de recevoir une rémunération constante pendant toute la durée de sa détention ;</w:t>
      </w:r>
    </w:p>
    <w:p w14:paraId="1FB56AF0" w14:textId="57DF4881" w:rsidR="00C838AC" w:rsidRPr="008354C2" w:rsidRDefault="00C838AC" w:rsidP="007805CA">
      <w:pPr>
        <w:pStyle w:val="Standard"/>
        <w:numPr>
          <w:ilvl w:val="0"/>
          <w:numId w:val="23"/>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L’obligation </w:t>
      </w:r>
      <w:r w:rsidRPr="008354C2">
        <w:rPr>
          <w:rFonts w:asciiTheme="majorHAnsi" w:hAnsiTheme="majorHAnsi" w:cstheme="majorHAnsi"/>
          <w:b/>
          <w:bCs/>
          <w:i/>
          <w:iCs/>
          <w:sz w:val="24"/>
          <w:szCs w:val="24"/>
        </w:rPr>
        <w:t>à taux variable</w:t>
      </w:r>
      <w:r w:rsidRPr="008354C2">
        <w:rPr>
          <w:rFonts w:asciiTheme="majorHAnsi" w:hAnsiTheme="majorHAnsi" w:cstheme="majorHAnsi"/>
          <w:b/>
          <w:bCs/>
          <w:sz w:val="24"/>
          <w:szCs w:val="24"/>
        </w:rPr>
        <w:t xml:space="preserve"> prévoit que les coupons et/ou le remboursement du capital sont complètement ou partiellement indexés sur un taux de référence </w:t>
      </w:r>
      <w:r w:rsidRPr="008354C2">
        <w:rPr>
          <w:rFonts w:asciiTheme="majorHAnsi" w:hAnsiTheme="majorHAnsi" w:cstheme="majorHAnsi"/>
          <w:sz w:val="24"/>
          <w:szCs w:val="24"/>
        </w:rPr>
        <w:t>(l'inflation par exemple). La rémunération peut varier pendant toute la durée de détention.</w:t>
      </w:r>
    </w:p>
    <w:p w14:paraId="0DD4301D"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Il convient également de distinguer </w:t>
      </w:r>
      <w:r w:rsidRPr="008354C2">
        <w:rPr>
          <w:rFonts w:asciiTheme="majorHAnsi" w:hAnsiTheme="majorHAnsi" w:cstheme="majorHAnsi"/>
          <w:b/>
          <w:bCs/>
          <w:sz w:val="24"/>
          <w:szCs w:val="24"/>
        </w:rPr>
        <w:t xml:space="preserve">les obligations garanties en capital à l’échéance </w:t>
      </w:r>
      <w:r w:rsidRPr="008354C2">
        <w:rPr>
          <w:rFonts w:asciiTheme="majorHAnsi" w:hAnsiTheme="majorHAnsi" w:cstheme="majorHAnsi"/>
          <w:sz w:val="24"/>
          <w:szCs w:val="24"/>
        </w:rPr>
        <w:t xml:space="preserve">(le montant qui sera reversé est garanti, hors cas de défaut) et </w:t>
      </w:r>
      <w:r w:rsidRPr="008354C2">
        <w:rPr>
          <w:rFonts w:asciiTheme="majorHAnsi" w:hAnsiTheme="majorHAnsi" w:cstheme="majorHAnsi"/>
          <w:b/>
          <w:bCs/>
          <w:sz w:val="24"/>
          <w:szCs w:val="24"/>
        </w:rPr>
        <w:t>les obligations présentant un risque de perte en capital en cours de vie et à l’échéance.</w:t>
      </w:r>
    </w:p>
    <w:p w14:paraId="2046817C" w14:textId="77777777" w:rsidR="00C838AC" w:rsidRPr="008354C2" w:rsidRDefault="00C838AC" w:rsidP="007805CA">
      <w:pPr>
        <w:pStyle w:val="Standard"/>
        <w:spacing w:line="276" w:lineRule="auto"/>
        <w:jc w:val="both"/>
        <w:rPr>
          <w:rFonts w:asciiTheme="majorHAnsi" w:hAnsiTheme="majorHAnsi" w:cstheme="majorHAnsi"/>
          <w:bCs/>
          <w:sz w:val="24"/>
          <w:szCs w:val="24"/>
        </w:rPr>
      </w:pPr>
      <w:r w:rsidRPr="008354C2">
        <w:rPr>
          <w:rFonts w:asciiTheme="majorHAnsi" w:hAnsiTheme="majorHAnsi" w:cstheme="majorHAnsi"/>
          <w:bCs/>
          <w:sz w:val="24"/>
          <w:szCs w:val="24"/>
        </w:rPr>
        <w:t>Il existe d’autres typologies d’obligations prévoyant des modalités de fonctionnement particulières. C’est le cas des obligations convertibles, des obligations à bons de souscription d’actions ou des obligations remboursables en actions. Ces obligations intègrent une option d’échange contre des actions auxquelles elles permettent d’accéder. Leur couple risque/rendement est extrêmement difficile à appréhender.</w:t>
      </w:r>
    </w:p>
    <w:p w14:paraId="4BE22752"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bCs/>
          <w:sz w:val="24"/>
          <w:szCs w:val="24"/>
        </w:rPr>
        <w:t xml:space="preserve">Les rendements présentés dans la documentation relative à l’émission d’une obligation s’entendent toujours </w:t>
      </w:r>
      <w:r w:rsidRPr="008354C2">
        <w:rPr>
          <w:rFonts w:asciiTheme="majorHAnsi" w:hAnsiTheme="majorHAnsi" w:cstheme="majorHAnsi"/>
          <w:bCs/>
          <w:sz w:val="24"/>
          <w:szCs w:val="24"/>
          <w:u w:val="single"/>
        </w:rPr>
        <w:t>hors frais et hors impôts.</w:t>
      </w:r>
    </w:p>
    <w:p w14:paraId="3E0B5440"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Il existe </w:t>
      </w:r>
      <w:r w:rsidRPr="008354C2">
        <w:rPr>
          <w:rFonts w:asciiTheme="majorHAnsi" w:hAnsiTheme="majorHAnsi" w:cstheme="majorHAnsi"/>
          <w:b/>
          <w:bCs/>
          <w:sz w:val="24"/>
          <w:szCs w:val="24"/>
          <w:u w:val="single"/>
        </w:rPr>
        <w:t>quatre zones de risques</w:t>
      </w:r>
      <w:r w:rsidRPr="008354C2">
        <w:rPr>
          <w:rFonts w:asciiTheme="majorHAnsi" w:hAnsiTheme="majorHAnsi" w:cstheme="majorHAnsi"/>
          <w:sz w:val="24"/>
          <w:szCs w:val="24"/>
        </w:rPr>
        <w:t xml:space="preserve"> pour un investissement obligataire :</w:t>
      </w:r>
    </w:p>
    <w:p w14:paraId="53ABDE76" w14:textId="77777777" w:rsidR="00C838AC" w:rsidRPr="008354C2" w:rsidRDefault="00C838AC" w:rsidP="007805CA">
      <w:pPr>
        <w:pStyle w:val="Standard"/>
        <w:numPr>
          <w:ilvl w:val="0"/>
          <w:numId w:val="24"/>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Le risque de perte en capital : </w:t>
      </w:r>
      <w:r w:rsidRPr="008354C2">
        <w:rPr>
          <w:rFonts w:asciiTheme="majorHAnsi" w:hAnsiTheme="majorHAnsi" w:cstheme="majorHAnsi"/>
          <w:sz w:val="24"/>
          <w:szCs w:val="24"/>
        </w:rPr>
        <w:t xml:space="preserve">il n’existe pas, contrairement à une idée assez répandue, de garantie sur le prix de cession de l’obligation en cours de vie. </w:t>
      </w:r>
      <w:r w:rsidRPr="008354C2">
        <w:rPr>
          <w:rFonts w:asciiTheme="majorHAnsi" w:hAnsiTheme="majorHAnsi" w:cstheme="majorHAnsi"/>
          <w:i/>
          <w:sz w:val="24"/>
          <w:szCs w:val="24"/>
        </w:rPr>
        <w:t>Le cours de l’obligation évolue en fonction du niveau des taux d’intérêt, de la qualité de l’émetteur et de la liquidité du marché.</w:t>
      </w:r>
      <w:r w:rsidRPr="008354C2">
        <w:rPr>
          <w:rFonts w:asciiTheme="majorHAnsi" w:hAnsiTheme="majorHAnsi" w:cstheme="majorHAnsi"/>
          <w:sz w:val="24"/>
          <w:szCs w:val="24"/>
        </w:rPr>
        <w:t xml:space="preserve"> Si l'on souhaite revendre son titre avant son échéance, il existe un risque de perte en capital </w:t>
      </w:r>
      <w:r w:rsidRPr="008354C2">
        <w:rPr>
          <w:rFonts w:asciiTheme="majorHAnsi" w:hAnsiTheme="majorHAnsi" w:cstheme="majorHAnsi"/>
          <w:b/>
          <w:bCs/>
          <w:sz w:val="24"/>
          <w:szCs w:val="24"/>
        </w:rPr>
        <w:t>non mesurable a priori</w:t>
      </w:r>
      <w:r w:rsidRPr="008354C2">
        <w:rPr>
          <w:rFonts w:asciiTheme="majorHAnsi" w:hAnsiTheme="majorHAnsi" w:cstheme="majorHAnsi"/>
          <w:sz w:val="24"/>
          <w:szCs w:val="24"/>
        </w:rPr>
        <w:t>.</w:t>
      </w:r>
    </w:p>
    <w:p w14:paraId="03822C16" w14:textId="77777777" w:rsidR="00C838AC" w:rsidRPr="008354C2" w:rsidRDefault="00C838AC" w:rsidP="007805CA">
      <w:pPr>
        <w:pStyle w:val="Standard"/>
        <w:numPr>
          <w:ilvl w:val="0"/>
          <w:numId w:val="24"/>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Le risque de liquidité : </w:t>
      </w:r>
      <w:r w:rsidRPr="008354C2">
        <w:rPr>
          <w:rFonts w:asciiTheme="majorHAnsi" w:hAnsiTheme="majorHAnsi" w:cstheme="majorHAnsi"/>
          <w:sz w:val="24"/>
          <w:szCs w:val="24"/>
        </w:rPr>
        <w:t>le marché obligataire est un marché relativement peu liquide (moins d’échanges que sur le marché actions).</w:t>
      </w:r>
    </w:p>
    <w:p w14:paraId="33E20BF4" w14:textId="77777777" w:rsidR="00C838AC" w:rsidRPr="008354C2" w:rsidRDefault="00C838AC" w:rsidP="007805CA">
      <w:pPr>
        <w:pStyle w:val="Standard"/>
        <w:numPr>
          <w:ilvl w:val="0"/>
          <w:numId w:val="24"/>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lastRenderedPageBreak/>
        <w:t xml:space="preserve">Le risque de taux : </w:t>
      </w:r>
      <w:r w:rsidRPr="008354C2">
        <w:rPr>
          <w:rFonts w:asciiTheme="majorHAnsi" w:hAnsiTheme="majorHAnsi" w:cstheme="majorHAnsi"/>
          <w:sz w:val="24"/>
          <w:szCs w:val="24"/>
        </w:rPr>
        <w:t xml:space="preserve">en cours de vie, l’obligation est sensible aux variations des taux d’intérêt. </w:t>
      </w:r>
      <w:r w:rsidRPr="008354C2">
        <w:rPr>
          <w:rFonts w:asciiTheme="majorHAnsi" w:hAnsiTheme="majorHAnsi" w:cstheme="majorHAnsi"/>
          <w:b/>
          <w:bCs/>
          <w:sz w:val="24"/>
          <w:szCs w:val="24"/>
        </w:rPr>
        <w:t xml:space="preserve">La valeur de marché d’une obligation à taux fixe évolue </w:t>
      </w:r>
      <w:r w:rsidRPr="008354C2">
        <w:rPr>
          <w:rFonts w:asciiTheme="majorHAnsi" w:hAnsiTheme="majorHAnsi" w:cstheme="majorHAnsi"/>
          <w:b/>
          <w:bCs/>
          <w:sz w:val="24"/>
          <w:szCs w:val="24"/>
          <w:u w:val="single"/>
        </w:rPr>
        <w:t xml:space="preserve">en sens inverse </w:t>
      </w:r>
      <w:r w:rsidRPr="008354C2">
        <w:rPr>
          <w:rFonts w:asciiTheme="majorHAnsi" w:hAnsiTheme="majorHAnsi" w:cstheme="majorHAnsi"/>
          <w:b/>
          <w:bCs/>
          <w:sz w:val="24"/>
          <w:szCs w:val="24"/>
        </w:rPr>
        <w:t>des taux d’intérêt :</w:t>
      </w:r>
    </w:p>
    <w:p w14:paraId="01F15FD1" w14:textId="77777777" w:rsidR="00C838AC" w:rsidRPr="008354C2" w:rsidRDefault="00C838AC" w:rsidP="007805CA">
      <w:pPr>
        <w:pStyle w:val="Standard"/>
        <w:numPr>
          <w:ilvl w:val="0"/>
          <w:numId w:val="25"/>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En cas de hausse des taux, le prix de marché de l’obligation à taux fixe baisse ;</w:t>
      </w:r>
    </w:p>
    <w:p w14:paraId="23F5960A" w14:textId="77777777" w:rsidR="00C838AC" w:rsidRPr="008354C2" w:rsidRDefault="00C838AC" w:rsidP="007805CA">
      <w:pPr>
        <w:pStyle w:val="Standard"/>
        <w:numPr>
          <w:ilvl w:val="0"/>
          <w:numId w:val="25"/>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En cas de baisse des taux, le prix de l’obligation anciennement émise augmente ;</w:t>
      </w:r>
    </w:p>
    <w:p w14:paraId="1F89D18F" w14:textId="77777777" w:rsidR="00C838AC" w:rsidRPr="008354C2" w:rsidRDefault="00C838AC" w:rsidP="007805CA">
      <w:pPr>
        <w:pStyle w:val="Standard"/>
        <w:numPr>
          <w:ilvl w:val="0"/>
          <w:numId w:val="25"/>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La sensibilité à l’évolution des taux est d’autant plus grande que la durée de vie de l’obligation est longue.</w:t>
      </w:r>
    </w:p>
    <w:p w14:paraId="05390FDA" w14:textId="77777777" w:rsidR="00C838AC" w:rsidRPr="008354C2" w:rsidRDefault="00C838AC" w:rsidP="007805CA">
      <w:pPr>
        <w:pStyle w:val="Standard"/>
        <w:numPr>
          <w:ilvl w:val="0"/>
          <w:numId w:val="26"/>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Le risque de crédit : </w:t>
      </w:r>
      <w:r w:rsidRPr="008354C2">
        <w:rPr>
          <w:rFonts w:asciiTheme="majorHAnsi" w:hAnsiTheme="majorHAnsi" w:cstheme="majorHAnsi"/>
          <w:sz w:val="24"/>
          <w:szCs w:val="24"/>
        </w:rPr>
        <w:t xml:space="preserve">la perception de la solidité financière de l’émetteur a également un impact sur le cours de l’obligation. </w:t>
      </w:r>
      <w:r w:rsidRPr="008354C2">
        <w:rPr>
          <w:rFonts w:asciiTheme="majorHAnsi" w:hAnsiTheme="majorHAnsi" w:cstheme="majorHAnsi"/>
          <w:b/>
          <w:bCs/>
          <w:sz w:val="24"/>
          <w:szCs w:val="24"/>
          <w:u w:val="single"/>
        </w:rPr>
        <w:t>Ce risque est surtout important pour les obligations spéculatives qui ne doivent en aucun cas concerner les Ogec.</w:t>
      </w:r>
    </w:p>
    <w:p w14:paraId="7921DACF" w14:textId="77777777" w:rsidR="00C838AC" w:rsidRPr="008354C2" w:rsidRDefault="00C838AC" w:rsidP="007805CA">
      <w:pPr>
        <w:pStyle w:val="Standard"/>
        <w:spacing w:line="276" w:lineRule="auto"/>
        <w:jc w:val="both"/>
        <w:rPr>
          <w:rFonts w:asciiTheme="majorHAnsi" w:hAnsiTheme="majorHAnsi" w:cstheme="majorHAnsi"/>
          <w:b/>
          <w:bCs/>
          <w:sz w:val="24"/>
          <w:szCs w:val="24"/>
        </w:rPr>
      </w:pPr>
    </w:p>
    <w:tbl>
      <w:tblPr>
        <w:tblW w:w="9072" w:type="dxa"/>
        <w:tblLayout w:type="fixed"/>
        <w:tblCellMar>
          <w:left w:w="10" w:type="dxa"/>
          <w:right w:w="10" w:type="dxa"/>
        </w:tblCellMar>
        <w:tblLook w:val="0000" w:firstRow="0" w:lastRow="0" w:firstColumn="0" w:lastColumn="0" w:noHBand="0" w:noVBand="0"/>
      </w:tblPr>
      <w:tblGrid>
        <w:gridCol w:w="9072"/>
      </w:tblGrid>
      <w:tr w:rsidR="00C838AC" w:rsidRPr="008354C2" w14:paraId="60E2DD22" w14:textId="77777777" w:rsidTr="00A7159D">
        <w:tc>
          <w:tcPr>
            <w:tcW w:w="9072" w:type="dxa"/>
            <w:shd w:val="clear" w:color="auto" w:fill="auto"/>
            <w:tcMar>
              <w:top w:w="55" w:type="dxa"/>
              <w:left w:w="55" w:type="dxa"/>
              <w:bottom w:w="55" w:type="dxa"/>
              <w:right w:w="55" w:type="dxa"/>
            </w:tcMar>
          </w:tcPr>
          <w:p w14:paraId="22D43561" w14:textId="7C9FAA9D" w:rsidR="00C838AC" w:rsidRPr="008354C2" w:rsidRDefault="00C838AC" w:rsidP="00992AB8">
            <w:pPr>
              <w:pStyle w:val="Titre4"/>
            </w:pPr>
            <w:r w:rsidRPr="008354C2">
              <w:t>Focus : Les titres de créance</w:t>
            </w:r>
            <w:r w:rsidR="009537C7">
              <w:t>S</w:t>
            </w:r>
            <w:r w:rsidRPr="008354C2">
              <w:t xml:space="preserve"> négociables (TCN)</w:t>
            </w:r>
          </w:p>
          <w:p w14:paraId="55C2D696" w14:textId="0A3DB6EF" w:rsidR="00A7159D" w:rsidRDefault="009537C7" w:rsidP="009537C7">
            <w:pPr>
              <w:pStyle w:val="Standard"/>
              <w:spacing w:line="276" w:lineRule="auto"/>
              <w:jc w:val="both"/>
              <w:rPr>
                <w:rFonts w:asciiTheme="majorHAnsi" w:hAnsiTheme="majorHAnsi" w:cstheme="majorHAnsi"/>
                <w:bCs/>
                <w:sz w:val="24"/>
                <w:szCs w:val="24"/>
              </w:rPr>
            </w:pPr>
            <w:r>
              <w:rPr>
                <w:rFonts w:asciiTheme="majorHAnsi" w:hAnsiTheme="majorHAnsi" w:cstheme="majorHAnsi"/>
                <w:bCs/>
                <w:sz w:val="24"/>
                <w:szCs w:val="24"/>
              </w:rPr>
              <w:t>Ils comprennent :</w:t>
            </w:r>
          </w:p>
          <w:p w14:paraId="42109F95" w14:textId="0ED9D4BC" w:rsidR="00C838AC" w:rsidRPr="00627BBB" w:rsidRDefault="00C838AC" w:rsidP="007805CA">
            <w:pPr>
              <w:pStyle w:val="Standard"/>
              <w:numPr>
                <w:ilvl w:val="0"/>
                <w:numId w:val="27"/>
              </w:numPr>
              <w:spacing w:line="276" w:lineRule="auto"/>
              <w:jc w:val="both"/>
              <w:rPr>
                <w:rFonts w:asciiTheme="majorHAnsi" w:hAnsiTheme="majorHAnsi" w:cstheme="majorHAnsi"/>
                <w:bCs/>
                <w:sz w:val="24"/>
                <w:szCs w:val="24"/>
              </w:rPr>
            </w:pPr>
            <w:r w:rsidRPr="00627BBB">
              <w:rPr>
                <w:rFonts w:asciiTheme="majorHAnsi" w:hAnsiTheme="majorHAnsi" w:cstheme="majorHAnsi"/>
                <w:bCs/>
                <w:sz w:val="24"/>
                <w:szCs w:val="24"/>
              </w:rPr>
              <w:t>Les bons du Trésor émis par l’État,</w:t>
            </w:r>
          </w:p>
          <w:p w14:paraId="12C6ECB3" w14:textId="77777777" w:rsidR="00C838AC" w:rsidRPr="00627BBB" w:rsidRDefault="00C838AC" w:rsidP="007805CA">
            <w:pPr>
              <w:pStyle w:val="Standard"/>
              <w:numPr>
                <w:ilvl w:val="0"/>
                <w:numId w:val="27"/>
              </w:numPr>
              <w:spacing w:line="276" w:lineRule="auto"/>
              <w:jc w:val="both"/>
              <w:rPr>
                <w:rFonts w:asciiTheme="majorHAnsi" w:hAnsiTheme="majorHAnsi" w:cstheme="majorHAnsi"/>
                <w:bCs/>
                <w:sz w:val="24"/>
                <w:szCs w:val="24"/>
              </w:rPr>
            </w:pPr>
            <w:r w:rsidRPr="00627BBB">
              <w:rPr>
                <w:rFonts w:asciiTheme="majorHAnsi" w:hAnsiTheme="majorHAnsi" w:cstheme="majorHAnsi"/>
                <w:bCs/>
                <w:sz w:val="24"/>
                <w:szCs w:val="24"/>
              </w:rPr>
              <w:t>Les billets de trésorerie émis par les entreprises industrielles et commerciales à horizon court terme,</w:t>
            </w:r>
          </w:p>
          <w:p w14:paraId="74735322" w14:textId="77777777" w:rsidR="00C838AC" w:rsidRPr="00627BBB" w:rsidRDefault="00C838AC" w:rsidP="007805CA">
            <w:pPr>
              <w:pStyle w:val="Standard"/>
              <w:numPr>
                <w:ilvl w:val="0"/>
                <w:numId w:val="27"/>
              </w:numPr>
              <w:spacing w:line="276" w:lineRule="auto"/>
              <w:jc w:val="both"/>
              <w:rPr>
                <w:rFonts w:asciiTheme="majorHAnsi" w:hAnsiTheme="majorHAnsi" w:cstheme="majorHAnsi"/>
                <w:bCs/>
                <w:sz w:val="24"/>
                <w:szCs w:val="24"/>
              </w:rPr>
            </w:pPr>
            <w:r w:rsidRPr="00627BBB">
              <w:rPr>
                <w:rFonts w:asciiTheme="majorHAnsi" w:hAnsiTheme="majorHAnsi" w:cstheme="majorHAnsi"/>
                <w:bCs/>
                <w:sz w:val="24"/>
                <w:szCs w:val="24"/>
              </w:rPr>
              <w:t>Les certificats de dépôt négociables émis par les banques et les institutions financières à horizon court terme,</w:t>
            </w:r>
          </w:p>
          <w:p w14:paraId="074943D4" w14:textId="77777777" w:rsidR="00C838AC" w:rsidRPr="00627BBB" w:rsidRDefault="00C838AC" w:rsidP="007805CA">
            <w:pPr>
              <w:pStyle w:val="Standard"/>
              <w:numPr>
                <w:ilvl w:val="0"/>
                <w:numId w:val="27"/>
              </w:numPr>
              <w:spacing w:line="276" w:lineRule="auto"/>
              <w:jc w:val="both"/>
              <w:rPr>
                <w:rFonts w:asciiTheme="majorHAnsi" w:hAnsiTheme="majorHAnsi" w:cstheme="majorHAnsi"/>
                <w:bCs/>
                <w:sz w:val="24"/>
                <w:szCs w:val="24"/>
              </w:rPr>
            </w:pPr>
            <w:r w:rsidRPr="00627BBB">
              <w:rPr>
                <w:rFonts w:asciiTheme="majorHAnsi" w:hAnsiTheme="majorHAnsi" w:cstheme="majorHAnsi"/>
                <w:bCs/>
                <w:sz w:val="24"/>
                <w:szCs w:val="24"/>
              </w:rPr>
              <w:t>Les bons à moyen terme négociables émis par les entreprises et les banques à horizon moyen terme.</w:t>
            </w:r>
          </w:p>
          <w:p w14:paraId="20BBD4E3" w14:textId="77777777" w:rsidR="00C838AC" w:rsidRPr="00A7159D" w:rsidRDefault="00C838AC" w:rsidP="007805CA">
            <w:pPr>
              <w:pStyle w:val="Standard"/>
              <w:spacing w:line="276" w:lineRule="auto"/>
              <w:jc w:val="both"/>
              <w:rPr>
                <w:rFonts w:asciiTheme="majorHAnsi" w:hAnsiTheme="majorHAnsi" w:cstheme="majorHAnsi"/>
                <w:bCs/>
                <w:color w:val="0000FF"/>
                <w:sz w:val="24"/>
                <w:szCs w:val="24"/>
              </w:rPr>
            </w:pPr>
            <w:r w:rsidRPr="00A7159D">
              <w:rPr>
                <w:rFonts w:asciiTheme="majorHAnsi" w:hAnsiTheme="majorHAnsi" w:cstheme="majorHAnsi"/>
                <w:bCs/>
                <w:sz w:val="24"/>
                <w:szCs w:val="24"/>
              </w:rPr>
              <w:t>Ces titres diffèrent des obligations par leur mode d’émission. Un emprunt obligataire doit être intégralement souscrit pour apparaître sur le marché alors que les TCN peuvent, en théorie, être émis en continu. Dans la pratique, ce sont les banques qui garantissent la bonne fin d’une émission obligataire ou qui se substituent au marché dans le cadre des TCN. TCN et obligations ont des modes de fonctionnement très proches.</w:t>
            </w:r>
          </w:p>
        </w:tc>
      </w:tr>
    </w:tbl>
    <w:p w14:paraId="7A4A44EE" w14:textId="77777777" w:rsidR="00C838AC" w:rsidRPr="008354C2" w:rsidRDefault="00C838AC" w:rsidP="007805CA">
      <w:pPr>
        <w:pStyle w:val="Standard"/>
        <w:spacing w:line="276" w:lineRule="auto"/>
        <w:rPr>
          <w:rFonts w:asciiTheme="majorHAnsi" w:hAnsiTheme="majorHAnsi" w:cstheme="majorHAnsi"/>
          <w:b/>
          <w:bCs/>
          <w:color w:val="0000FF"/>
          <w:sz w:val="24"/>
          <w:szCs w:val="24"/>
        </w:rPr>
      </w:pPr>
    </w:p>
    <w:p w14:paraId="0E4347AA" w14:textId="77777777" w:rsidR="00C838AC" w:rsidRPr="008354C2" w:rsidRDefault="00C838AC" w:rsidP="007805CA">
      <w:pPr>
        <w:spacing w:line="276" w:lineRule="auto"/>
        <w:rPr>
          <w:rFonts w:asciiTheme="majorHAnsi" w:hAnsiTheme="majorHAnsi" w:cstheme="majorHAnsi"/>
          <w:b/>
          <w:bCs/>
          <w:color w:val="0000FF"/>
        </w:rPr>
      </w:pPr>
      <w:r w:rsidRPr="008354C2">
        <w:rPr>
          <w:rFonts w:asciiTheme="majorHAnsi" w:hAnsiTheme="majorHAnsi" w:cstheme="majorHAnsi"/>
          <w:b/>
          <w:bCs/>
          <w:color w:val="0000FF"/>
        </w:rPr>
        <w:br w:type="page"/>
      </w:r>
    </w:p>
    <w:p w14:paraId="4620F922" w14:textId="77777777" w:rsidR="00C838AC" w:rsidRPr="008354C2" w:rsidRDefault="00C838AC" w:rsidP="003031D1">
      <w:pPr>
        <w:pStyle w:val="Titre1"/>
      </w:pPr>
      <w:r w:rsidRPr="008354C2">
        <w:lastRenderedPageBreak/>
        <w:t>Les actions : définition et risques spécifiques</w:t>
      </w:r>
    </w:p>
    <w:p w14:paraId="7A0265EA"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Une action représente une fraction du capital d’une entreprise. Elle donne droit à la perception de dividendes. Il existe différents types d’actions :</w:t>
      </w:r>
    </w:p>
    <w:p w14:paraId="490CB6AC" w14:textId="77777777" w:rsidR="00C838AC" w:rsidRPr="008354C2" w:rsidRDefault="00C838AC" w:rsidP="007805CA">
      <w:pPr>
        <w:pStyle w:val="Standard"/>
        <w:numPr>
          <w:ilvl w:val="0"/>
          <w:numId w:val="28"/>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Les actions « au porteur »ne permettent pas à la société dont vous êtes actionnaire de vous identifier, c’est le cas le plus fréquent. Les actions « nominatives » entraînent, pour leur part, l’inscription des actionnaires sur les registres juridiques de la société.</w:t>
      </w:r>
    </w:p>
    <w:p w14:paraId="07C8B749" w14:textId="77777777" w:rsidR="00C838AC" w:rsidRPr="008354C2" w:rsidRDefault="00C838AC" w:rsidP="007805CA">
      <w:pPr>
        <w:pStyle w:val="Standard"/>
        <w:numPr>
          <w:ilvl w:val="0"/>
          <w:numId w:val="28"/>
        </w:numPr>
        <w:spacing w:line="276" w:lineRule="auto"/>
        <w:jc w:val="both"/>
        <w:rPr>
          <w:rFonts w:asciiTheme="majorHAnsi" w:hAnsiTheme="majorHAnsi" w:cstheme="majorHAnsi"/>
          <w:sz w:val="24"/>
          <w:szCs w:val="24"/>
          <w:u w:val="single"/>
        </w:rPr>
      </w:pPr>
      <w:r w:rsidRPr="008354C2">
        <w:rPr>
          <w:rFonts w:asciiTheme="majorHAnsi" w:hAnsiTheme="majorHAnsi" w:cstheme="majorHAnsi"/>
          <w:sz w:val="24"/>
          <w:szCs w:val="24"/>
        </w:rPr>
        <w:t>Les actions cotées sont traitées sur un marché boursier, les actions non cotées peuvent s’échanger de gré à gré entre les investisseurs, à un prix dont ils conviennent.</w:t>
      </w:r>
      <w:r w:rsidRPr="008354C2">
        <w:rPr>
          <w:rFonts w:asciiTheme="majorHAnsi" w:hAnsiTheme="majorHAnsi" w:cstheme="majorHAnsi"/>
          <w:b/>
          <w:bCs/>
          <w:color w:val="FF0000"/>
          <w:sz w:val="24"/>
          <w:szCs w:val="24"/>
        </w:rPr>
        <w:t xml:space="preserve"> </w:t>
      </w:r>
      <w:r w:rsidRPr="008354C2">
        <w:rPr>
          <w:rFonts w:asciiTheme="majorHAnsi" w:hAnsiTheme="majorHAnsi" w:cstheme="majorHAnsi"/>
          <w:b/>
          <w:bCs/>
          <w:sz w:val="24"/>
          <w:szCs w:val="24"/>
          <w:u w:val="single"/>
        </w:rPr>
        <w:t>Les actions non cotées sont à proscrire en ce qui concerne les Ogec.</w:t>
      </w:r>
    </w:p>
    <w:p w14:paraId="3A2C13FB" w14:textId="77777777" w:rsidR="00C838AC" w:rsidRPr="008354C2" w:rsidRDefault="00C838AC" w:rsidP="007805CA">
      <w:pPr>
        <w:pStyle w:val="Standard"/>
        <w:numPr>
          <w:ilvl w:val="0"/>
          <w:numId w:val="28"/>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Certaines actions sont associées à un droit particulier, comme les actions à dividende prioritaire (ADP) ou encore les actions à bon de souscription d’actions (ABSA).</w:t>
      </w:r>
    </w:p>
    <w:p w14:paraId="48076152" w14:textId="77777777" w:rsidR="00C838AC" w:rsidRPr="008354C2" w:rsidRDefault="00C838AC" w:rsidP="007805CA">
      <w:pPr>
        <w:pStyle w:val="Standard"/>
        <w:spacing w:line="276" w:lineRule="auto"/>
        <w:jc w:val="both"/>
        <w:rPr>
          <w:rFonts w:asciiTheme="majorHAnsi" w:hAnsiTheme="majorHAnsi" w:cstheme="majorHAnsi"/>
          <w:sz w:val="24"/>
          <w:szCs w:val="24"/>
          <w:u w:val="single"/>
        </w:rPr>
      </w:pPr>
      <w:r w:rsidRPr="008354C2">
        <w:rPr>
          <w:rFonts w:asciiTheme="majorHAnsi" w:hAnsiTheme="majorHAnsi" w:cstheme="majorHAnsi"/>
          <w:sz w:val="24"/>
          <w:szCs w:val="24"/>
        </w:rPr>
        <w:t xml:space="preserve">Plusieurs stratégies sont possibles sur les marchés actions. </w:t>
      </w:r>
      <w:r w:rsidRPr="008354C2">
        <w:rPr>
          <w:rFonts w:asciiTheme="majorHAnsi" w:hAnsiTheme="majorHAnsi" w:cstheme="majorHAnsi"/>
          <w:b/>
          <w:bCs/>
          <w:sz w:val="24"/>
          <w:szCs w:val="24"/>
          <w:u w:val="single"/>
        </w:rPr>
        <w:t>Néanmoins, toutes demandent de solides compétences techniques et sectorielles, demeurent spéculatives et doivent être écartées.</w:t>
      </w:r>
    </w:p>
    <w:p w14:paraId="5E2D5829" w14:textId="77777777" w:rsidR="00C838AC" w:rsidRPr="008354C2" w:rsidRDefault="00C838AC" w:rsidP="007805CA">
      <w:pPr>
        <w:pStyle w:val="Standard"/>
        <w:numPr>
          <w:ilvl w:val="0"/>
          <w:numId w:val="29"/>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La stratégie de </w:t>
      </w:r>
      <w:r w:rsidRPr="008354C2">
        <w:rPr>
          <w:rFonts w:asciiTheme="majorHAnsi" w:hAnsiTheme="majorHAnsi" w:cstheme="majorHAnsi"/>
          <w:i/>
          <w:sz w:val="24"/>
          <w:szCs w:val="24"/>
        </w:rPr>
        <w:t>croissance</w:t>
      </w:r>
      <w:r w:rsidRPr="008354C2">
        <w:rPr>
          <w:rFonts w:asciiTheme="majorHAnsi" w:hAnsiTheme="majorHAnsi" w:cstheme="majorHAnsi"/>
          <w:sz w:val="24"/>
          <w:szCs w:val="24"/>
        </w:rPr>
        <w:t xml:space="preserve"> consiste à investir dans des sociétés identifiées comme ayant un potentiel de valorisation dans des secteurs d’avenir (ex : start-up dans les nouvelles technologies) ;</w:t>
      </w:r>
    </w:p>
    <w:p w14:paraId="0C9C00C7" w14:textId="77777777" w:rsidR="00C838AC" w:rsidRPr="008354C2" w:rsidRDefault="00C838AC" w:rsidP="007805CA">
      <w:pPr>
        <w:pStyle w:val="Standard"/>
        <w:numPr>
          <w:ilvl w:val="0"/>
          <w:numId w:val="29"/>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La stratégie de </w:t>
      </w:r>
      <w:r w:rsidRPr="008354C2">
        <w:rPr>
          <w:rFonts w:asciiTheme="majorHAnsi" w:hAnsiTheme="majorHAnsi" w:cstheme="majorHAnsi"/>
          <w:i/>
          <w:sz w:val="24"/>
          <w:szCs w:val="24"/>
        </w:rPr>
        <w:t>valorisation</w:t>
      </w:r>
      <w:r w:rsidRPr="008354C2">
        <w:rPr>
          <w:rFonts w:asciiTheme="majorHAnsi" w:hAnsiTheme="majorHAnsi" w:cstheme="majorHAnsi"/>
          <w:sz w:val="24"/>
          <w:szCs w:val="24"/>
        </w:rPr>
        <w:t xml:space="preserve"> consiste à repérer des titres dont le cours de bourse est sous-évalué par rapport à leur valeur intrinsèque ;</w:t>
      </w:r>
    </w:p>
    <w:p w14:paraId="57D68AA3" w14:textId="77777777" w:rsidR="00C838AC" w:rsidRPr="008354C2" w:rsidRDefault="00C838AC" w:rsidP="007805CA">
      <w:pPr>
        <w:pStyle w:val="Standard"/>
        <w:numPr>
          <w:ilvl w:val="0"/>
          <w:numId w:val="29"/>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D’autres titres offrent plutôt un </w:t>
      </w:r>
      <w:r w:rsidRPr="008354C2">
        <w:rPr>
          <w:rFonts w:asciiTheme="majorHAnsi" w:hAnsiTheme="majorHAnsi" w:cstheme="majorHAnsi"/>
          <w:i/>
          <w:sz w:val="24"/>
          <w:szCs w:val="24"/>
        </w:rPr>
        <w:t>rendement</w:t>
      </w:r>
      <w:r w:rsidRPr="008354C2">
        <w:rPr>
          <w:rFonts w:asciiTheme="majorHAnsi" w:hAnsiTheme="majorHAnsi" w:cstheme="majorHAnsi"/>
          <w:sz w:val="24"/>
          <w:szCs w:val="24"/>
        </w:rPr>
        <w:t xml:space="preserve"> régulier, c’est-à-dire que leur cours de bourse pourra varier de façon moins marquée en contrepartie d’un dividende récurrent.</w:t>
      </w:r>
    </w:p>
    <w:p w14:paraId="5C917FD5" w14:textId="77777777" w:rsidR="00C838AC" w:rsidRPr="008354C2" w:rsidRDefault="00C838AC" w:rsidP="007805CA">
      <w:pPr>
        <w:pStyle w:val="Standard"/>
        <w:spacing w:line="276" w:lineRule="auto"/>
        <w:jc w:val="both"/>
        <w:rPr>
          <w:rFonts w:asciiTheme="majorHAnsi" w:hAnsiTheme="majorHAnsi" w:cstheme="majorHAnsi"/>
          <w:b/>
          <w:bCs/>
          <w:sz w:val="24"/>
          <w:szCs w:val="24"/>
        </w:rPr>
      </w:pPr>
      <w:r w:rsidRPr="008354C2">
        <w:rPr>
          <w:rFonts w:asciiTheme="majorHAnsi" w:hAnsiTheme="majorHAnsi" w:cstheme="majorHAnsi"/>
          <w:b/>
          <w:bCs/>
          <w:sz w:val="24"/>
          <w:szCs w:val="24"/>
        </w:rPr>
        <w:t>Les différents risques :</w:t>
      </w:r>
    </w:p>
    <w:p w14:paraId="54E1E871" w14:textId="77777777" w:rsidR="00C838AC" w:rsidRPr="008354C2" w:rsidRDefault="00C838AC" w:rsidP="007805CA">
      <w:pPr>
        <w:pStyle w:val="Standard"/>
        <w:numPr>
          <w:ilvl w:val="0"/>
          <w:numId w:val="30"/>
        </w:numPr>
        <w:spacing w:line="276" w:lineRule="auto"/>
        <w:jc w:val="both"/>
        <w:rPr>
          <w:rFonts w:asciiTheme="majorHAnsi" w:hAnsiTheme="majorHAnsi" w:cstheme="majorHAnsi"/>
          <w:i/>
          <w:sz w:val="24"/>
          <w:szCs w:val="24"/>
        </w:rPr>
      </w:pPr>
      <w:r w:rsidRPr="008354C2">
        <w:rPr>
          <w:rFonts w:asciiTheme="majorHAnsi" w:hAnsiTheme="majorHAnsi" w:cstheme="majorHAnsi"/>
          <w:b/>
          <w:bCs/>
          <w:sz w:val="24"/>
          <w:szCs w:val="24"/>
        </w:rPr>
        <w:t xml:space="preserve">La perte en capital : </w:t>
      </w:r>
      <w:r w:rsidRPr="008354C2">
        <w:rPr>
          <w:rFonts w:asciiTheme="majorHAnsi" w:hAnsiTheme="majorHAnsi" w:cstheme="majorHAnsi"/>
          <w:sz w:val="24"/>
          <w:szCs w:val="24"/>
        </w:rPr>
        <w:t xml:space="preserve">un investissement en actions ne bénéficie </w:t>
      </w:r>
      <w:r w:rsidRPr="008354C2">
        <w:rPr>
          <w:rFonts w:asciiTheme="majorHAnsi" w:hAnsiTheme="majorHAnsi" w:cstheme="majorHAnsi"/>
          <w:i/>
          <w:sz w:val="24"/>
          <w:szCs w:val="24"/>
        </w:rPr>
        <w:t>d’aucune garantie ni protection sur le capital.</w:t>
      </w:r>
    </w:p>
    <w:p w14:paraId="799F1DA0" w14:textId="77777777" w:rsidR="00C838AC" w:rsidRPr="008354C2" w:rsidRDefault="00C838AC" w:rsidP="007805CA">
      <w:pPr>
        <w:pStyle w:val="Standard"/>
        <w:numPr>
          <w:ilvl w:val="0"/>
          <w:numId w:val="30"/>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Le risque lié à une gestion discrétionnaire : </w:t>
      </w:r>
      <w:r w:rsidRPr="008354C2">
        <w:rPr>
          <w:rFonts w:asciiTheme="majorHAnsi" w:hAnsiTheme="majorHAnsi" w:cstheme="majorHAnsi"/>
          <w:sz w:val="24"/>
          <w:szCs w:val="24"/>
        </w:rPr>
        <w:t>dans le cas d’une gestion active, la performance d’un portefeuille actions dépend des titres sélectionnés. Il existe donc un risque que l’investisseur ou son gérant ne choisisse pas les titres les plus performants et que l’allocation ainsi mise en place ne soit pas optimale.</w:t>
      </w:r>
    </w:p>
    <w:p w14:paraId="68407683" w14:textId="77777777" w:rsidR="00C838AC" w:rsidRPr="008354C2" w:rsidRDefault="00C838AC" w:rsidP="007805CA">
      <w:pPr>
        <w:pStyle w:val="Standard"/>
        <w:numPr>
          <w:ilvl w:val="0"/>
          <w:numId w:val="31"/>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Le risque lié aux sociétés de petite et moyenne capitalisation : </w:t>
      </w:r>
      <w:r w:rsidRPr="008354C2">
        <w:rPr>
          <w:rFonts w:asciiTheme="majorHAnsi" w:hAnsiTheme="majorHAnsi" w:cstheme="majorHAnsi"/>
          <w:sz w:val="24"/>
          <w:szCs w:val="24"/>
        </w:rPr>
        <w:t>les actions d’une société de petite capitalisation sont moins liquides et plus volatiles que les actions d’une société de capitalisation importante.</w:t>
      </w:r>
    </w:p>
    <w:p w14:paraId="0C0F754E" w14:textId="77777777" w:rsidR="00C838AC" w:rsidRPr="008354C2" w:rsidRDefault="00C838AC" w:rsidP="007805CA">
      <w:pPr>
        <w:pStyle w:val="Standard"/>
        <w:numPr>
          <w:ilvl w:val="0"/>
          <w:numId w:val="31"/>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lastRenderedPageBreak/>
        <w:t>Le risque lié aux investissements sur des marchés émergents </w:t>
      </w:r>
      <w:r w:rsidRPr="008354C2">
        <w:rPr>
          <w:rFonts w:asciiTheme="majorHAnsi" w:hAnsiTheme="majorHAnsi" w:cstheme="majorHAnsi"/>
          <w:sz w:val="24"/>
          <w:szCs w:val="24"/>
        </w:rPr>
        <w:t>: les actions de ces marchés offrent une liquidité plus restreinte.</w:t>
      </w:r>
    </w:p>
    <w:p w14:paraId="4813F286" w14:textId="5AA538FB" w:rsidR="00C838AC" w:rsidRDefault="00C838AC" w:rsidP="007805CA">
      <w:pPr>
        <w:pStyle w:val="Standard"/>
        <w:numPr>
          <w:ilvl w:val="0"/>
          <w:numId w:val="31"/>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Le risque sectoriel </w:t>
      </w:r>
      <w:r w:rsidRPr="008354C2">
        <w:rPr>
          <w:rFonts w:asciiTheme="majorHAnsi" w:hAnsiTheme="majorHAnsi" w:cstheme="majorHAnsi"/>
          <w:sz w:val="24"/>
          <w:szCs w:val="24"/>
        </w:rPr>
        <w:t xml:space="preserve">: risque lié à la </w:t>
      </w:r>
      <w:r w:rsidRPr="008354C2">
        <w:rPr>
          <w:rFonts w:asciiTheme="majorHAnsi" w:hAnsiTheme="majorHAnsi" w:cstheme="majorHAnsi"/>
          <w:b/>
          <w:bCs/>
          <w:sz w:val="24"/>
          <w:szCs w:val="24"/>
        </w:rPr>
        <w:t>concentration</w:t>
      </w:r>
      <w:r w:rsidRPr="008354C2">
        <w:rPr>
          <w:rFonts w:asciiTheme="majorHAnsi" w:hAnsiTheme="majorHAnsi" w:cstheme="majorHAnsi"/>
          <w:sz w:val="24"/>
          <w:szCs w:val="24"/>
        </w:rPr>
        <w:t xml:space="preserve"> des investissements dans un ou plusieurs secteurs.</w:t>
      </w:r>
    </w:p>
    <w:p w14:paraId="404BD991" w14:textId="1EE2A43F" w:rsidR="00C838AC" w:rsidRPr="00992AB8" w:rsidRDefault="00992AB8" w:rsidP="00992AB8">
      <w:pPr>
        <w:pStyle w:val="Titre4"/>
      </w:pPr>
      <w:r w:rsidRPr="00992AB8">
        <w:rPr>
          <w:caps w:val="0"/>
        </w:rPr>
        <w:t>Des r</w:t>
      </w:r>
      <w:r w:rsidR="00F71C2D">
        <w:rPr>
          <w:caps w:val="0"/>
        </w:rPr>
        <w:t>è</w:t>
      </w:r>
      <w:r w:rsidRPr="00992AB8">
        <w:rPr>
          <w:caps w:val="0"/>
        </w:rPr>
        <w:t>gles d'</w:t>
      </w:r>
      <w:r w:rsidR="00F71C2D" w:rsidRPr="00992AB8">
        <w:rPr>
          <w:caps w:val="0"/>
        </w:rPr>
        <w:t>élémentaire</w:t>
      </w:r>
      <w:r w:rsidRPr="00992AB8">
        <w:rPr>
          <w:caps w:val="0"/>
        </w:rPr>
        <w:t xml:space="preserve"> bon sens </w:t>
      </w:r>
      <w:r w:rsidRPr="009E5CFB">
        <w:rPr>
          <w:b/>
          <w:caps w:val="0"/>
        </w:rPr>
        <w:t>interdisent</w:t>
      </w:r>
      <w:r w:rsidRPr="00992AB8">
        <w:rPr>
          <w:caps w:val="0"/>
        </w:rPr>
        <w:t xml:space="preserve"> </w:t>
      </w:r>
      <w:r w:rsidR="00F71C2D">
        <w:rPr>
          <w:caps w:val="0"/>
        </w:rPr>
        <w:t>à</w:t>
      </w:r>
      <w:r w:rsidRPr="00992AB8">
        <w:rPr>
          <w:caps w:val="0"/>
        </w:rPr>
        <w:t xml:space="preserve"> un </w:t>
      </w:r>
      <w:r w:rsidR="00F71C2D" w:rsidRPr="00992AB8">
        <w:rPr>
          <w:caps w:val="0"/>
        </w:rPr>
        <w:t xml:space="preserve">Ogec </w:t>
      </w:r>
      <w:r w:rsidRPr="00992AB8">
        <w:rPr>
          <w:caps w:val="0"/>
        </w:rPr>
        <w:t xml:space="preserve">un investissement dans des </w:t>
      </w:r>
      <w:r w:rsidR="00F71C2D" w:rsidRPr="00992AB8">
        <w:rPr>
          <w:caps w:val="0"/>
        </w:rPr>
        <w:t>sociétés</w:t>
      </w:r>
      <w:r w:rsidRPr="00992AB8">
        <w:rPr>
          <w:caps w:val="0"/>
        </w:rPr>
        <w:t xml:space="preserve"> dont </w:t>
      </w:r>
      <w:r w:rsidRPr="009E5CFB">
        <w:rPr>
          <w:b/>
          <w:caps w:val="0"/>
        </w:rPr>
        <w:t>les titres sont peu liquides</w:t>
      </w:r>
      <w:r w:rsidRPr="00992AB8">
        <w:rPr>
          <w:caps w:val="0"/>
        </w:rPr>
        <w:t xml:space="preserve"> ou qui sont </w:t>
      </w:r>
      <w:r w:rsidR="00F71C2D" w:rsidRPr="00992AB8">
        <w:rPr>
          <w:caps w:val="0"/>
        </w:rPr>
        <w:t>positionnées</w:t>
      </w:r>
      <w:r w:rsidRPr="00992AB8">
        <w:rPr>
          <w:caps w:val="0"/>
        </w:rPr>
        <w:t xml:space="preserve"> sur des </w:t>
      </w:r>
      <w:r w:rsidRPr="009E5CFB">
        <w:rPr>
          <w:b/>
          <w:caps w:val="0"/>
        </w:rPr>
        <w:t>march</w:t>
      </w:r>
      <w:r w:rsidR="00F71C2D" w:rsidRPr="009E5CFB">
        <w:rPr>
          <w:b/>
          <w:caps w:val="0"/>
        </w:rPr>
        <w:t>é</w:t>
      </w:r>
      <w:r w:rsidRPr="009E5CFB">
        <w:rPr>
          <w:b/>
          <w:caps w:val="0"/>
        </w:rPr>
        <w:t xml:space="preserve">s </w:t>
      </w:r>
      <w:r w:rsidR="00F71C2D" w:rsidRPr="009E5CFB">
        <w:rPr>
          <w:b/>
          <w:caps w:val="0"/>
        </w:rPr>
        <w:t>émergents</w:t>
      </w:r>
      <w:r w:rsidRPr="00992AB8">
        <w:rPr>
          <w:caps w:val="0"/>
        </w:rPr>
        <w:t>.</w:t>
      </w:r>
    </w:p>
    <w:p w14:paraId="38E6762E" w14:textId="28AC2129" w:rsidR="00C838AC" w:rsidRDefault="00C838AC" w:rsidP="007805CA">
      <w:pPr>
        <w:pStyle w:val="Standard"/>
        <w:spacing w:line="276" w:lineRule="auto"/>
        <w:rPr>
          <w:rFonts w:asciiTheme="majorHAnsi" w:hAnsiTheme="majorHAnsi" w:cstheme="majorHAnsi"/>
          <w:b/>
          <w:bCs/>
          <w:sz w:val="24"/>
          <w:szCs w:val="24"/>
        </w:rPr>
      </w:pPr>
      <w:r w:rsidRPr="008354C2">
        <w:rPr>
          <w:rFonts w:asciiTheme="majorHAnsi" w:hAnsiTheme="majorHAnsi" w:cstheme="majorHAnsi"/>
          <w:bCs/>
          <w:sz w:val="24"/>
          <w:szCs w:val="24"/>
        </w:rPr>
        <w:t xml:space="preserve">De façon plus générale, le risque élevé de perte en capital en cas de placement d’une partie de la trésorerie en actions doit conduire un CA d’OGEC à écarter ce type de placements, </w:t>
      </w:r>
      <w:r w:rsidRPr="008354C2">
        <w:rPr>
          <w:rFonts w:asciiTheme="majorHAnsi" w:hAnsiTheme="majorHAnsi" w:cstheme="majorHAnsi"/>
          <w:b/>
          <w:bCs/>
          <w:sz w:val="24"/>
          <w:szCs w:val="24"/>
        </w:rPr>
        <w:t>y compris dans le cadre d’OPCVM.</w:t>
      </w:r>
    </w:p>
    <w:p w14:paraId="6E80D97E" w14:textId="77777777" w:rsidR="0090020F" w:rsidRPr="008354C2" w:rsidRDefault="0090020F" w:rsidP="007805CA">
      <w:pPr>
        <w:pStyle w:val="Standard"/>
        <w:spacing w:line="276" w:lineRule="auto"/>
        <w:rPr>
          <w:rFonts w:asciiTheme="majorHAnsi" w:hAnsiTheme="majorHAnsi" w:cstheme="majorHAnsi"/>
          <w:b/>
          <w:bCs/>
          <w:sz w:val="24"/>
          <w:szCs w:val="24"/>
        </w:rPr>
      </w:pPr>
    </w:p>
    <w:p w14:paraId="389BC10A" w14:textId="77777777" w:rsidR="00C838AC" w:rsidRPr="008354C2" w:rsidRDefault="00C838AC" w:rsidP="003031D1">
      <w:pPr>
        <w:pStyle w:val="Titre1"/>
      </w:pPr>
      <w:r w:rsidRPr="008354C2">
        <w:t>L’investissement socialement responsable</w:t>
      </w:r>
    </w:p>
    <w:p w14:paraId="4A495D98"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La notion </w:t>
      </w:r>
      <w:r w:rsidRPr="008354C2">
        <w:rPr>
          <w:rFonts w:asciiTheme="majorHAnsi" w:hAnsiTheme="majorHAnsi" w:cstheme="majorHAnsi"/>
          <w:b/>
          <w:bCs/>
          <w:sz w:val="24"/>
          <w:szCs w:val="24"/>
        </w:rPr>
        <w:t xml:space="preserve">d’investissement socialement responsable (ISR) </w:t>
      </w:r>
      <w:r w:rsidRPr="008354C2">
        <w:rPr>
          <w:rFonts w:asciiTheme="majorHAnsi" w:hAnsiTheme="majorHAnsi" w:cstheme="majorHAnsi"/>
          <w:sz w:val="24"/>
          <w:szCs w:val="24"/>
        </w:rPr>
        <w:t>recouvre les diverses démarches d’intégration du développement durable au sein de la gestion financière.</w:t>
      </w:r>
    </w:p>
    <w:p w14:paraId="7B987C90" w14:textId="77777777"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i/>
          <w:iCs/>
          <w:sz w:val="24"/>
          <w:szCs w:val="24"/>
        </w:rPr>
        <w:t xml:space="preserve">L’ISR « est un placement qui vise à concilier performance économique et impact social et environnemental en finançant les entreprises et les entités publiques qui contribuent au </w:t>
      </w:r>
      <w:r w:rsidRPr="008354C2">
        <w:rPr>
          <w:rFonts w:asciiTheme="majorHAnsi" w:hAnsiTheme="majorHAnsi" w:cstheme="majorHAnsi"/>
          <w:b/>
          <w:bCs/>
          <w:i/>
          <w:iCs/>
          <w:sz w:val="24"/>
          <w:szCs w:val="24"/>
        </w:rPr>
        <w:t xml:space="preserve">développement durable </w:t>
      </w:r>
      <w:r w:rsidRPr="008354C2">
        <w:rPr>
          <w:rFonts w:asciiTheme="majorHAnsi" w:hAnsiTheme="majorHAnsi" w:cstheme="majorHAnsi"/>
          <w:i/>
          <w:iCs/>
          <w:sz w:val="24"/>
          <w:szCs w:val="24"/>
        </w:rPr>
        <w:t xml:space="preserve">quel que soit leur secteur d’activité. </w:t>
      </w:r>
      <w:r w:rsidRPr="008354C2">
        <w:rPr>
          <w:rFonts w:asciiTheme="majorHAnsi" w:hAnsiTheme="majorHAnsi" w:cstheme="majorHAnsi"/>
          <w:b/>
          <w:bCs/>
          <w:i/>
          <w:iCs/>
          <w:sz w:val="24"/>
          <w:szCs w:val="24"/>
        </w:rPr>
        <w:t>En influençant la gouvernance et le comportement des acteurs</w:t>
      </w:r>
      <w:r w:rsidRPr="008354C2">
        <w:rPr>
          <w:rFonts w:asciiTheme="majorHAnsi" w:hAnsiTheme="majorHAnsi" w:cstheme="majorHAnsi"/>
          <w:i/>
          <w:iCs/>
          <w:sz w:val="24"/>
          <w:szCs w:val="24"/>
        </w:rPr>
        <w:t>, l’ISR favorise une économie responsable ».</w:t>
      </w:r>
    </w:p>
    <w:p w14:paraId="23EF932E" w14:textId="77777777" w:rsidR="00C838AC" w:rsidRPr="008354C2" w:rsidRDefault="00C838AC" w:rsidP="007805CA">
      <w:pPr>
        <w:pStyle w:val="Standard"/>
        <w:spacing w:line="276" w:lineRule="auto"/>
        <w:rPr>
          <w:rFonts w:asciiTheme="majorHAnsi" w:hAnsiTheme="majorHAnsi" w:cstheme="majorHAnsi"/>
          <w:sz w:val="24"/>
          <w:szCs w:val="24"/>
        </w:rPr>
      </w:pPr>
      <w:r w:rsidRPr="008354C2">
        <w:rPr>
          <w:rFonts w:asciiTheme="majorHAnsi" w:hAnsiTheme="majorHAnsi" w:cstheme="majorHAnsi"/>
          <w:sz w:val="24"/>
          <w:szCs w:val="24"/>
        </w:rPr>
        <w:t>L’investissement socialement responsable répond généralement à trois objectifs principaux :</w:t>
      </w:r>
    </w:p>
    <w:p w14:paraId="38EE10B8" w14:textId="77777777" w:rsidR="00C838AC" w:rsidRPr="008354C2" w:rsidRDefault="00C838AC" w:rsidP="007805CA">
      <w:pPr>
        <w:pStyle w:val="Standard"/>
        <w:numPr>
          <w:ilvl w:val="0"/>
          <w:numId w:val="32"/>
        </w:numPr>
        <w:spacing w:line="276" w:lineRule="auto"/>
        <w:rPr>
          <w:rFonts w:asciiTheme="majorHAnsi" w:hAnsiTheme="majorHAnsi" w:cstheme="majorHAnsi"/>
          <w:sz w:val="24"/>
          <w:szCs w:val="24"/>
        </w:rPr>
      </w:pPr>
      <w:r w:rsidRPr="008354C2">
        <w:rPr>
          <w:rFonts w:asciiTheme="majorHAnsi" w:hAnsiTheme="majorHAnsi" w:cstheme="majorHAnsi"/>
          <w:sz w:val="24"/>
          <w:szCs w:val="24"/>
        </w:rPr>
        <w:t>Investir s</w:t>
      </w:r>
      <w:r w:rsidRPr="008354C2">
        <w:rPr>
          <w:rFonts w:asciiTheme="majorHAnsi" w:hAnsiTheme="majorHAnsi" w:cstheme="majorHAnsi"/>
          <w:b/>
          <w:bCs/>
          <w:sz w:val="24"/>
          <w:szCs w:val="24"/>
        </w:rPr>
        <w:t>elon une certaine philosophie et dans le respect de certaines valeurs</w:t>
      </w:r>
      <w:r w:rsidRPr="008354C2">
        <w:rPr>
          <w:rFonts w:asciiTheme="majorHAnsi" w:hAnsiTheme="majorHAnsi" w:cstheme="majorHAnsi"/>
          <w:sz w:val="24"/>
          <w:szCs w:val="24"/>
        </w:rPr>
        <w:t xml:space="preserve"> ;</w:t>
      </w:r>
    </w:p>
    <w:p w14:paraId="200447D9" w14:textId="77777777" w:rsidR="00C838AC" w:rsidRPr="008354C2" w:rsidRDefault="00C838AC" w:rsidP="007805CA">
      <w:pPr>
        <w:pStyle w:val="Standard"/>
        <w:numPr>
          <w:ilvl w:val="0"/>
          <w:numId w:val="32"/>
        </w:numPr>
        <w:spacing w:line="276" w:lineRule="auto"/>
        <w:rPr>
          <w:rFonts w:asciiTheme="majorHAnsi" w:hAnsiTheme="majorHAnsi" w:cstheme="majorHAnsi"/>
          <w:sz w:val="24"/>
          <w:szCs w:val="24"/>
        </w:rPr>
      </w:pPr>
      <w:r w:rsidRPr="008354C2">
        <w:rPr>
          <w:rFonts w:asciiTheme="majorHAnsi" w:hAnsiTheme="majorHAnsi" w:cstheme="majorHAnsi"/>
          <w:sz w:val="24"/>
          <w:szCs w:val="24"/>
        </w:rPr>
        <w:t xml:space="preserve">Prendre en compte les risques et les opportunités tirés de </w:t>
      </w:r>
      <w:r w:rsidRPr="008354C2">
        <w:rPr>
          <w:rFonts w:asciiTheme="majorHAnsi" w:hAnsiTheme="majorHAnsi" w:cstheme="majorHAnsi"/>
          <w:b/>
          <w:bCs/>
          <w:sz w:val="24"/>
          <w:szCs w:val="24"/>
        </w:rPr>
        <w:t xml:space="preserve">l’analyse extra-financière des émetteurs (empreinte environnementale, respect de valeurs sociales, engagement sociétal, gouvernement d’entreprise) </w:t>
      </w:r>
      <w:r w:rsidRPr="008354C2">
        <w:rPr>
          <w:rFonts w:asciiTheme="majorHAnsi" w:hAnsiTheme="majorHAnsi" w:cstheme="majorHAnsi"/>
          <w:sz w:val="24"/>
          <w:szCs w:val="24"/>
        </w:rPr>
        <w:t>;</w:t>
      </w:r>
    </w:p>
    <w:p w14:paraId="5F4523FA" w14:textId="77777777" w:rsidR="00C838AC" w:rsidRPr="008354C2" w:rsidRDefault="00C838AC" w:rsidP="007805CA">
      <w:pPr>
        <w:pStyle w:val="Standard"/>
        <w:numPr>
          <w:ilvl w:val="0"/>
          <w:numId w:val="32"/>
        </w:numPr>
        <w:spacing w:line="276" w:lineRule="auto"/>
        <w:rPr>
          <w:rFonts w:asciiTheme="majorHAnsi" w:hAnsiTheme="majorHAnsi" w:cstheme="majorHAnsi"/>
          <w:sz w:val="24"/>
          <w:szCs w:val="24"/>
        </w:rPr>
      </w:pPr>
      <w:r w:rsidRPr="008354C2">
        <w:rPr>
          <w:rFonts w:asciiTheme="majorHAnsi" w:hAnsiTheme="majorHAnsi" w:cstheme="majorHAnsi"/>
          <w:sz w:val="24"/>
          <w:szCs w:val="24"/>
        </w:rPr>
        <w:t xml:space="preserve">Viser un </w:t>
      </w:r>
      <w:r w:rsidRPr="008354C2">
        <w:rPr>
          <w:rFonts w:asciiTheme="majorHAnsi" w:hAnsiTheme="majorHAnsi" w:cstheme="majorHAnsi"/>
          <w:b/>
          <w:bCs/>
          <w:sz w:val="24"/>
          <w:szCs w:val="24"/>
        </w:rPr>
        <w:t>impact favorable sur les aspects sociaux, environnementaux et de gouvernance.</w:t>
      </w:r>
    </w:p>
    <w:p w14:paraId="7A8206FB" w14:textId="16EE5503"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 xml:space="preserve">En tant que structures de l'Enseignement </w:t>
      </w:r>
      <w:r w:rsidR="001873CD">
        <w:rPr>
          <w:rFonts w:asciiTheme="majorHAnsi" w:hAnsiTheme="majorHAnsi" w:cstheme="majorHAnsi"/>
          <w:b/>
          <w:bCs/>
          <w:sz w:val="24"/>
          <w:szCs w:val="24"/>
        </w:rPr>
        <w:t>c</w:t>
      </w:r>
      <w:r w:rsidRPr="008354C2">
        <w:rPr>
          <w:rFonts w:asciiTheme="majorHAnsi" w:hAnsiTheme="majorHAnsi" w:cstheme="majorHAnsi"/>
          <w:b/>
          <w:bCs/>
          <w:sz w:val="24"/>
          <w:szCs w:val="24"/>
        </w:rPr>
        <w:t>atholique, les Ogec doivent être sensibilisés à l’ISR.</w:t>
      </w:r>
      <w:r w:rsidRPr="008354C2">
        <w:rPr>
          <w:rFonts w:asciiTheme="majorHAnsi" w:hAnsiTheme="majorHAnsi" w:cstheme="majorHAnsi"/>
          <w:sz w:val="24"/>
          <w:szCs w:val="24"/>
        </w:rPr>
        <w:t xml:space="preserve"> En effet, ils sont régulièrement démarchés pour souscrire à des produits entrant dans cette catégorie. Deux points doivent impérativement être pris en compte.</w:t>
      </w:r>
    </w:p>
    <w:p w14:paraId="77F76FBE" w14:textId="77777777" w:rsidR="0090020F" w:rsidRDefault="0090020F">
      <w:pPr>
        <w:ind w:firstLine="0"/>
        <w:rPr>
          <w:rFonts w:asciiTheme="majorHAnsi" w:eastAsia="SimSun" w:hAnsiTheme="majorHAnsi" w:cstheme="majorHAnsi"/>
          <w:kern w:val="3"/>
          <w:lang w:eastAsia="en-US"/>
        </w:rPr>
      </w:pPr>
      <w:r>
        <w:rPr>
          <w:rFonts w:asciiTheme="majorHAnsi" w:hAnsiTheme="majorHAnsi" w:cstheme="majorHAnsi"/>
        </w:rPr>
        <w:br w:type="page"/>
      </w:r>
    </w:p>
    <w:p w14:paraId="6952D13A" w14:textId="60249F12" w:rsidR="00C838AC" w:rsidRPr="008354C2" w:rsidRDefault="00C838AC" w:rsidP="007805CA">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lastRenderedPageBreak/>
        <w:t>Tout d’abord, pour toute information sur la dimension « ISR » des fonds, il convient de consulter :</w:t>
      </w:r>
    </w:p>
    <w:p w14:paraId="29319CA0" w14:textId="77777777" w:rsidR="00C838AC" w:rsidRPr="008354C2" w:rsidRDefault="00C838AC" w:rsidP="007805CA">
      <w:pPr>
        <w:pStyle w:val="Standard"/>
        <w:numPr>
          <w:ilvl w:val="0"/>
          <w:numId w:val="33"/>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La documentation légale</w:t>
      </w:r>
      <w:r w:rsidRPr="008354C2">
        <w:rPr>
          <w:rFonts w:asciiTheme="majorHAnsi" w:hAnsiTheme="majorHAnsi" w:cstheme="majorHAnsi"/>
          <w:sz w:val="24"/>
          <w:szCs w:val="24"/>
        </w:rPr>
        <w:t xml:space="preserve"> (DICI</w:t>
      </w:r>
      <w:r w:rsidRPr="008354C2">
        <w:rPr>
          <w:rStyle w:val="Appelnotedebasdep"/>
          <w:rFonts w:asciiTheme="majorHAnsi" w:hAnsiTheme="majorHAnsi" w:cstheme="majorHAnsi"/>
          <w:sz w:val="24"/>
          <w:szCs w:val="24"/>
        </w:rPr>
        <w:footnoteReference w:id="1"/>
      </w:r>
      <w:r w:rsidRPr="008354C2">
        <w:rPr>
          <w:rFonts w:asciiTheme="majorHAnsi" w:hAnsiTheme="majorHAnsi" w:cstheme="majorHAnsi"/>
          <w:sz w:val="24"/>
          <w:szCs w:val="24"/>
        </w:rPr>
        <w:t xml:space="preserve"> / prospectus / règlement ou statuts) : ces documents doivent présenter les principes de la stratégie extra-financière ;</w:t>
      </w:r>
    </w:p>
    <w:p w14:paraId="6F5277F2" w14:textId="77777777" w:rsidR="00C838AC" w:rsidRPr="008354C2" w:rsidRDefault="00C838AC" w:rsidP="007805CA">
      <w:pPr>
        <w:pStyle w:val="Standard"/>
        <w:numPr>
          <w:ilvl w:val="0"/>
          <w:numId w:val="33"/>
        </w:numPr>
        <w:spacing w:line="276" w:lineRule="auto"/>
        <w:jc w:val="both"/>
        <w:rPr>
          <w:rFonts w:asciiTheme="majorHAnsi" w:hAnsiTheme="majorHAnsi" w:cstheme="majorHAnsi"/>
          <w:sz w:val="24"/>
          <w:szCs w:val="24"/>
        </w:rPr>
      </w:pPr>
      <w:r w:rsidRPr="008354C2">
        <w:rPr>
          <w:rFonts w:asciiTheme="majorHAnsi" w:hAnsiTheme="majorHAnsi" w:cstheme="majorHAnsi"/>
          <w:b/>
          <w:bCs/>
          <w:sz w:val="24"/>
          <w:szCs w:val="24"/>
        </w:rPr>
        <w:t>Le code de transparence</w:t>
      </w:r>
      <w:r w:rsidRPr="008354C2">
        <w:rPr>
          <w:rFonts w:asciiTheme="majorHAnsi" w:hAnsiTheme="majorHAnsi" w:cstheme="majorHAnsi"/>
          <w:sz w:val="24"/>
          <w:szCs w:val="24"/>
        </w:rPr>
        <w:t xml:space="preserve"> : il a pour but d'aider à comprendre les pratiques et les partis pris des gestionnaires d’actifs en matière d’ISR. Requis pour tous les fonds ISR ouverts au public et gérés par des sociétés de gestion adhérentes de l’Association française de la gestion financière ou du Forum pour l’investissement responsable (FIR), il impose aux gestionnaires de répondre aux questions qui y sont posées pour leurs fonds ISR ;</w:t>
      </w:r>
    </w:p>
    <w:p w14:paraId="49D0663D" w14:textId="77777777" w:rsidR="00C838AC" w:rsidRPr="008354C2" w:rsidRDefault="00C838AC" w:rsidP="007805CA">
      <w:pPr>
        <w:pStyle w:val="Standard"/>
        <w:numPr>
          <w:ilvl w:val="0"/>
          <w:numId w:val="34"/>
        </w:numPr>
        <w:spacing w:line="276" w:lineRule="auto"/>
        <w:ind w:left="709"/>
        <w:jc w:val="both"/>
        <w:rPr>
          <w:rFonts w:asciiTheme="majorHAnsi" w:hAnsiTheme="majorHAnsi" w:cstheme="majorHAnsi"/>
          <w:sz w:val="24"/>
          <w:szCs w:val="24"/>
        </w:rPr>
      </w:pPr>
      <w:r w:rsidRPr="008354C2">
        <w:rPr>
          <w:rFonts w:asciiTheme="majorHAnsi" w:hAnsiTheme="majorHAnsi" w:cstheme="majorHAnsi"/>
          <w:b/>
          <w:bCs/>
          <w:sz w:val="24"/>
          <w:szCs w:val="24"/>
        </w:rPr>
        <w:t xml:space="preserve">Le reporting extra-financier </w:t>
      </w:r>
      <w:r w:rsidRPr="008354C2">
        <w:rPr>
          <w:rFonts w:asciiTheme="majorHAnsi" w:hAnsiTheme="majorHAnsi" w:cstheme="majorHAnsi"/>
          <w:sz w:val="24"/>
          <w:szCs w:val="24"/>
        </w:rPr>
        <w:t>: il vient rendre compte des conséquences concrètes a posteriori sur le déroulement de la stratégie ISR ;</w:t>
      </w:r>
    </w:p>
    <w:p w14:paraId="5AEF1E94" w14:textId="77777777" w:rsidR="00C838AC" w:rsidRPr="008354C2" w:rsidRDefault="00C838AC" w:rsidP="007805CA">
      <w:pPr>
        <w:pStyle w:val="Standard"/>
        <w:numPr>
          <w:ilvl w:val="0"/>
          <w:numId w:val="34"/>
        </w:numPr>
        <w:spacing w:line="276" w:lineRule="auto"/>
        <w:ind w:left="851"/>
        <w:jc w:val="both"/>
        <w:rPr>
          <w:rFonts w:asciiTheme="majorHAnsi" w:hAnsiTheme="majorHAnsi" w:cstheme="majorHAnsi"/>
          <w:sz w:val="24"/>
          <w:szCs w:val="24"/>
        </w:rPr>
      </w:pPr>
      <w:r w:rsidRPr="008354C2">
        <w:rPr>
          <w:rFonts w:asciiTheme="majorHAnsi" w:hAnsiTheme="majorHAnsi" w:cstheme="majorHAnsi"/>
          <w:b/>
          <w:bCs/>
          <w:sz w:val="24"/>
          <w:szCs w:val="24"/>
        </w:rPr>
        <w:t>La politique de vote</w:t>
      </w:r>
      <w:r w:rsidRPr="008354C2">
        <w:rPr>
          <w:rFonts w:asciiTheme="majorHAnsi" w:hAnsiTheme="majorHAnsi" w:cstheme="majorHAnsi"/>
          <w:sz w:val="24"/>
          <w:szCs w:val="24"/>
        </w:rPr>
        <w:t xml:space="preserve"> : ce document décrit les grands principes suivis par la société de gestion en matière de vote. Ce point est d’autant plus important que la dimension ISR est basée sur l’engagement actionnarial ;</w:t>
      </w:r>
    </w:p>
    <w:p w14:paraId="22750D9A" w14:textId="77777777" w:rsidR="00C838AC" w:rsidRPr="008354C2" w:rsidRDefault="00C838AC" w:rsidP="007805CA">
      <w:pPr>
        <w:pStyle w:val="Standard"/>
        <w:numPr>
          <w:ilvl w:val="0"/>
          <w:numId w:val="34"/>
        </w:numPr>
        <w:spacing w:line="276" w:lineRule="auto"/>
        <w:ind w:left="851"/>
        <w:jc w:val="both"/>
        <w:rPr>
          <w:rFonts w:asciiTheme="majorHAnsi" w:hAnsiTheme="majorHAnsi" w:cstheme="majorHAnsi"/>
          <w:sz w:val="24"/>
          <w:szCs w:val="24"/>
        </w:rPr>
      </w:pPr>
      <w:r w:rsidRPr="008354C2">
        <w:rPr>
          <w:rFonts w:asciiTheme="majorHAnsi" w:hAnsiTheme="majorHAnsi" w:cstheme="majorHAnsi"/>
          <w:b/>
          <w:bCs/>
          <w:sz w:val="24"/>
          <w:szCs w:val="24"/>
        </w:rPr>
        <w:t>Les rapports de vote et/ou de dialogue.</w:t>
      </w:r>
    </w:p>
    <w:p w14:paraId="7F978DC1" w14:textId="77777777" w:rsidR="00C838AC" w:rsidRPr="008354C2" w:rsidRDefault="00C838AC" w:rsidP="007805CA">
      <w:pPr>
        <w:pStyle w:val="Standard"/>
        <w:spacing w:line="276" w:lineRule="auto"/>
        <w:jc w:val="both"/>
        <w:rPr>
          <w:rFonts w:asciiTheme="majorHAnsi" w:hAnsiTheme="majorHAnsi" w:cstheme="majorHAnsi"/>
          <w:b/>
          <w:sz w:val="24"/>
          <w:szCs w:val="24"/>
        </w:rPr>
      </w:pPr>
      <w:r w:rsidRPr="008354C2">
        <w:rPr>
          <w:rFonts w:asciiTheme="majorHAnsi" w:hAnsiTheme="majorHAnsi" w:cstheme="majorHAnsi"/>
          <w:sz w:val="24"/>
          <w:szCs w:val="24"/>
        </w:rPr>
        <w:t xml:space="preserve">Au-delà de ces considérations, l’intégralité des remarques faites précédemment sur la nature des supports demeure valide. </w:t>
      </w:r>
      <w:r w:rsidRPr="008354C2">
        <w:rPr>
          <w:rFonts w:asciiTheme="majorHAnsi" w:hAnsiTheme="majorHAnsi" w:cstheme="majorHAnsi"/>
          <w:b/>
          <w:sz w:val="24"/>
          <w:szCs w:val="24"/>
        </w:rPr>
        <w:t>En particulier, il convient d’avoir à l’esprit que ce n’est pas parce qu’un investissement est socialement responsable qu’il est sans risque pour le souscripteur.</w:t>
      </w:r>
    </w:p>
    <w:p w14:paraId="742629E2" w14:textId="77777777" w:rsidR="00C838AC" w:rsidRPr="008354C2" w:rsidRDefault="00C838AC" w:rsidP="007805CA">
      <w:pPr>
        <w:spacing w:line="276" w:lineRule="auto"/>
        <w:rPr>
          <w:rFonts w:asciiTheme="majorHAnsi" w:hAnsiTheme="majorHAnsi" w:cstheme="majorHAnsi"/>
        </w:rPr>
      </w:pPr>
      <w:r w:rsidRPr="008354C2">
        <w:rPr>
          <w:rFonts w:asciiTheme="majorHAnsi" w:hAnsiTheme="majorHAnsi" w:cstheme="majorHAnsi"/>
        </w:rPr>
        <w:br w:type="page"/>
      </w:r>
    </w:p>
    <w:p w14:paraId="7721BE35" w14:textId="77777777" w:rsidR="00C838AC" w:rsidRPr="008354C2" w:rsidRDefault="00C838AC" w:rsidP="0090020F">
      <w:pPr>
        <w:pStyle w:val="Sansinterligne"/>
        <w:jc w:val="center"/>
      </w:pPr>
      <w:r w:rsidRPr="008354C2">
        <w:lastRenderedPageBreak/>
        <w:t>Annexe 2 : La fiscalité des placements financiers</w:t>
      </w:r>
    </w:p>
    <w:p w14:paraId="22CD2B20" w14:textId="77777777" w:rsidR="0090020F" w:rsidRDefault="0090020F" w:rsidP="007805CA">
      <w:pPr>
        <w:pStyle w:val="Standard"/>
        <w:spacing w:line="276" w:lineRule="auto"/>
        <w:rPr>
          <w:rFonts w:asciiTheme="majorHAnsi" w:hAnsiTheme="majorHAnsi" w:cstheme="majorHAnsi"/>
          <w:sz w:val="24"/>
          <w:szCs w:val="24"/>
        </w:rPr>
      </w:pPr>
    </w:p>
    <w:p w14:paraId="648AE1E0" w14:textId="0C4DE169" w:rsidR="00C838AC" w:rsidRPr="008354C2" w:rsidRDefault="00C838AC" w:rsidP="0090020F">
      <w:pPr>
        <w:pStyle w:val="Standard"/>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Le rendement des différents placements envisagés doit toujours être étudié de manière « </w:t>
      </w:r>
      <w:r w:rsidRPr="0090020F">
        <w:rPr>
          <w:rFonts w:asciiTheme="majorHAnsi" w:hAnsiTheme="majorHAnsi" w:cstheme="majorHAnsi"/>
          <w:b/>
          <w:sz w:val="24"/>
          <w:szCs w:val="24"/>
        </w:rPr>
        <w:t>nette</w:t>
      </w:r>
      <w:r w:rsidRPr="008354C2">
        <w:rPr>
          <w:rFonts w:asciiTheme="majorHAnsi" w:hAnsiTheme="majorHAnsi" w:cstheme="majorHAnsi"/>
          <w:sz w:val="24"/>
          <w:szCs w:val="24"/>
        </w:rPr>
        <w:t> » :</w:t>
      </w:r>
    </w:p>
    <w:p w14:paraId="3F083A7F" w14:textId="77777777" w:rsidR="00C838AC" w:rsidRPr="008354C2" w:rsidRDefault="00C838AC" w:rsidP="0090020F">
      <w:pPr>
        <w:pStyle w:val="Standard"/>
        <w:numPr>
          <w:ilvl w:val="0"/>
          <w:numId w:val="35"/>
        </w:numPr>
        <w:spacing w:after="60" w:line="276" w:lineRule="auto"/>
        <w:ind w:left="714" w:hanging="357"/>
        <w:jc w:val="both"/>
        <w:rPr>
          <w:rFonts w:asciiTheme="majorHAnsi" w:hAnsiTheme="majorHAnsi" w:cstheme="majorHAnsi"/>
          <w:sz w:val="24"/>
          <w:szCs w:val="24"/>
        </w:rPr>
      </w:pPr>
      <w:r w:rsidRPr="008354C2">
        <w:rPr>
          <w:rFonts w:asciiTheme="majorHAnsi" w:hAnsiTheme="majorHAnsi" w:cstheme="majorHAnsi"/>
          <w:sz w:val="24"/>
          <w:szCs w:val="24"/>
        </w:rPr>
        <w:t xml:space="preserve">En prenant en compte les </w:t>
      </w:r>
      <w:r w:rsidRPr="0090020F">
        <w:rPr>
          <w:rFonts w:asciiTheme="majorHAnsi" w:hAnsiTheme="majorHAnsi" w:cstheme="majorHAnsi"/>
          <w:b/>
          <w:sz w:val="24"/>
          <w:szCs w:val="24"/>
        </w:rPr>
        <w:t>frais</w:t>
      </w:r>
      <w:r w:rsidRPr="008354C2">
        <w:rPr>
          <w:rFonts w:asciiTheme="majorHAnsi" w:hAnsiTheme="majorHAnsi" w:cstheme="majorHAnsi"/>
          <w:sz w:val="24"/>
          <w:szCs w:val="24"/>
        </w:rPr>
        <w:t xml:space="preserve"> perçus par les établissements financiers aux différentes étapes de l’investissement (frais d’entrée, frais annuels, droits de garde, etc.) ;</w:t>
      </w:r>
    </w:p>
    <w:p w14:paraId="39B8F819" w14:textId="48220EA6" w:rsidR="00C838AC" w:rsidRDefault="00C838AC" w:rsidP="0090020F">
      <w:pPr>
        <w:pStyle w:val="Standard"/>
        <w:numPr>
          <w:ilvl w:val="0"/>
          <w:numId w:val="35"/>
        </w:numPr>
        <w:spacing w:line="276" w:lineRule="auto"/>
        <w:jc w:val="both"/>
        <w:rPr>
          <w:rFonts w:asciiTheme="majorHAnsi" w:hAnsiTheme="majorHAnsi" w:cstheme="majorHAnsi"/>
          <w:sz w:val="24"/>
          <w:szCs w:val="24"/>
        </w:rPr>
      </w:pPr>
      <w:r w:rsidRPr="008354C2">
        <w:rPr>
          <w:rFonts w:asciiTheme="majorHAnsi" w:hAnsiTheme="majorHAnsi" w:cstheme="majorHAnsi"/>
          <w:sz w:val="24"/>
          <w:szCs w:val="24"/>
        </w:rPr>
        <w:t xml:space="preserve">En prenant en compte la </w:t>
      </w:r>
      <w:r w:rsidRPr="0090020F">
        <w:rPr>
          <w:rFonts w:asciiTheme="majorHAnsi" w:hAnsiTheme="majorHAnsi" w:cstheme="majorHAnsi"/>
          <w:b/>
          <w:sz w:val="24"/>
          <w:szCs w:val="24"/>
        </w:rPr>
        <w:t>fiscalité</w:t>
      </w:r>
      <w:r w:rsidRPr="008354C2">
        <w:rPr>
          <w:rFonts w:asciiTheme="majorHAnsi" w:hAnsiTheme="majorHAnsi" w:cstheme="majorHAnsi"/>
          <w:sz w:val="24"/>
          <w:szCs w:val="24"/>
        </w:rPr>
        <w:t xml:space="preserve"> sur les produits.</w:t>
      </w:r>
    </w:p>
    <w:p w14:paraId="5D98E220" w14:textId="77777777" w:rsidR="0090020F" w:rsidRPr="008354C2" w:rsidRDefault="0090020F" w:rsidP="0090020F">
      <w:pPr>
        <w:pStyle w:val="Standard"/>
        <w:spacing w:line="276" w:lineRule="auto"/>
        <w:jc w:val="both"/>
        <w:rPr>
          <w:rFonts w:asciiTheme="majorHAnsi" w:hAnsiTheme="majorHAnsi" w:cstheme="majorHAnsi"/>
          <w:sz w:val="24"/>
          <w:szCs w:val="24"/>
        </w:rPr>
      </w:pPr>
    </w:p>
    <w:p w14:paraId="0812A862" w14:textId="77777777" w:rsidR="00C838AC" w:rsidRPr="008354C2" w:rsidRDefault="00C838AC" w:rsidP="003031D1">
      <w:pPr>
        <w:pStyle w:val="Titre1"/>
      </w:pPr>
      <w:r w:rsidRPr="008354C2">
        <w:t>Rappel des principes généraux d’imposition des associations sans activité lucrative</w:t>
      </w:r>
    </w:p>
    <w:p w14:paraId="4ED26E26" w14:textId="77777777" w:rsidR="00C838AC" w:rsidRPr="008354C2" w:rsidRDefault="00C838AC" w:rsidP="002D4A1E">
      <w:pPr>
        <w:shd w:val="clear" w:color="auto" w:fill="FFFFFF"/>
        <w:spacing w:after="150" w:line="276" w:lineRule="auto"/>
        <w:ind w:firstLine="0"/>
        <w:outlineLvl w:val="1"/>
        <w:rPr>
          <w:rFonts w:asciiTheme="majorHAnsi" w:eastAsia="Times New Roman" w:hAnsiTheme="majorHAnsi" w:cstheme="majorHAnsi"/>
          <w:bCs/>
        </w:rPr>
      </w:pPr>
      <w:r w:rsidRPr="008354C2">
        <w:rPr>
          <w:rFonts w:asciiTheme="majorHAnsi" w:eastAsia="Times New Roman" w:hAnsiTheme="majorHAnsi" w:cstheme="majorHAnsi"/>
          <w:bCs/>
        </w:rPr>
        <w:t>Les associations sans activité lucrative sont redevables de l'</w:t>
      </w:r>
      <w:r w:rsidRPr="008354C2">
        <w:rPr>
          <w:rFonts w:asciiTheme="majorHAnsi" w:eastAsia="Times New Roman" w:hAnsiTheme="majorHAnsi" w:cstheme="majorHAnsi"/>
          <w:b/>
          <w:bCs/>
        </w:rPr>
        <w:t>impôt sur les sociétés aux taux réduits</w:t>
      </w:r>
      <w:r w:rsidRPr="008354C2">
        <w:rPr>
          <w:rFonts w:asciiTheme="majorHAnsi" w:eastAsia="Times New Roman" w:hAnsiTheme="majorHAnsi" w:cstheme="majorHAnsi"/>
          <w:bCs/>
        </w:rPr>
        <w:t xml:space="preserve"> sur leurs </w:t>
      </w:r>
      <w:r w:rsidRPr="008354C2">
        <w:rPr>
          <w:rFonts w:asciiTheme="majorHAnsi" w:eastAsia="Times New Roman" w:hAnsiTheme="majorHAnsi" w:cstheme="majorHAnsi"/>
          <w:b/>
          <w:bCs/>
        </w:rPr>
        <w:t>revenus patrimoniaux</w:t>
      </w:r>
      <w:r w:rsidRPr="008354C2">
        <w:rPr>
          <w:rFonts w:asciiTheme="majorHAnsi" w:eastAsia="Times New Roman" w:hAnsiTheme="majorHAnsi" w:cstheme="majorHAnsi"/>
          <w:bCs/>
        </w:rPr>
        <w:t xml:space="preserve"> : </w:t>
      </w:r>
      <w:r w:rsidRPr="008354C2">
        <w:rPr>
          <w:rFonts w:asciiTheme="majorHAnsi" w:eastAsia="Times New Roman" w:hAnsiTheme="majorHAnsi" w:cstheme="majorHAnsi"/>
          <w:b/>
          <w:bCs/>
        </w:rPr>
        <w:t>c’est le cas des Ogec.</w:t>
      </w:r>
    </w:p>
    <w:p w14:paraId="79D88AA2" w14:textId="77777777" w:rsidR="00C838AC" w:rsidRPr="008354C2" w:rsidRDefault="00C838AC" w:rsidP="002D4A1E">
      <w:pPr>
        <w:shd w:val="clear" w:color="auto" w:fill="FFFFFF"/>
        <w:spacing w:after="150" w:line="276" w:lineRule="auto"/>
        <w:ind w:firstLine="0"/>
        <w:outlineLvl w:val="1"/>
        <w:rPr>
          <w:rFonts w:asciiTheme="majorHAnsi" w:eastAsia="Times New Roman" w:hAnsiTheme="majorHAnsi" w:cstheme="majorHAnsi"/>
          <w:bCs/>
        </w:rPr>
      </w:pPr>
      <w:r w:rsidRPr="008354C2">
        <w:rPr>
          <w:rFonts w:asciiTheme="majorHAnsi" w:eastAsia="Times New Roman" w:hAnsiTheme="majorHAnsi" w:cstheme="majorHAnsi"/>
          <w:bCs/>
        </w:rPr>
        <w:t>Les revenus imposables sont limitativement énumérés à l'article 206, 5 du CGI : revenus provenant de la location d'immeubles, revenus des exploitations agricoles ou forestières et certains revenus mobiliers. Les revenus qui n'entrent pas dans ces catégories sont totalement exonérés.</w:t>
      </w:r>
    </w:p>
    <w:p w14:paraId="034B5919" w14:textId="77777777" w:rsidR="00C838AC" w:rsidRPr="008354C2" w:rsidRDefault="00C838AC" w:rsidP="002D4A1E">
      <w:pPr>
        <w:shd w:val="clear" w:color="auto" w:fill="FFFFFF"/>
        <w:spacing w:after="150" w:line="276" w:lineRule="auto"/>
        <w:ind w:firstLine="0"/>
        <w:outlineLvl w:val="1"/>
        <w:rPr>
          <w:rFonts w:asciiTheme="majorHAnsi" w:eastAsia="Times New Roman" w:hAnsiTheme="majorHAnsi" w:cstheme="majorHAnsi"/>
          <w:bCs/>
        </w:rPr>
      </w:pPr>
      <w:r w:rsidRPr="008354C2">
        <w:rPr>
          <w:rFonts w:asciiTheme="majorHAnsi" w:eastAsia="Times New Roman" w:hAnsiTheme="majorHAnsi" w:cstheme="majorHAnsi"/>
          <w:bCs/>
        </w:rPr>
        <w:t>Les revenus patrimoniaux sont imposables au taux réduit de 24 % ou, pour certains revenus mobiliers, au taux de 10 % ou 15 % (CGI art. 219 bis et 219 quater).</w:t>
      </w:r>
    </w:p>
    <w:p w14:paraId="7CA5CB73" w14:textId="77777777" w:rsidR="00C838AC" w:rsidRPr="008354C2" w:rsidRDefault="00C838AC" w:rsidP="002D4A1E">
      <w:pPr>
        <w:shd w:val="clear" w:color="auto" w:fill="FFFFFF"/>
        <w:spacing w:after="150" w:line="276" w:lineRule="auto"/>
        <w:ind w:firstLine="0"/>
        <w:outlineLvl w:val="1"/>
        <w:rPr>
          <w:rFonts w:asciiTheme="majorHAnsi" w:eastAsia="Times New Roman" w:hAnsiTheme="majorHAnsi" w:cstheme="majorHAnsi"/>
          <w:bCs/>
        </w:rPr>
      </w:pPr>
      <w:r w:rsidRPr="008354C2">
        <w:rPr>
          <w:rFonts w:asciiTheme="majorHAnsi" w:eastAsia="Times New Roman" w:hAnsiTheme="majorHAnsi" w:cstheme="majorHAnsi"/>
          <w:bCs/>
        </w:rPr>
        <w:t>La fiscalité applicable aux différents types de placement peut être retrouvée sur les sites internet des établissements bancaires partenaires de la FNOGEC : Société Générale, Banque Postale, Crédit Coopératif, Crédit Agricole SA...</w:t>
      </w:r>
    </w:p>
    <w:p w14:paraId="1C91581C" w14:textId="600358C1" w:rsidR="00CA7F2D" w:rsidRDefault="00CA7F2D" w:rsidP="00CA7F2D">
      <w:pPr>
        <w:pStyle w:val="Sansinterligne"/>
      </w:pPr>
      <w:r>
        <w:t>Conseil :</w:t>
      </w:r>
    </w:p>
    <w:p w14:paraId="350D13B8" w14:textId="4CD29691" w:rsidR="002D4A1E" w:rsidRPr="00CA7F2D" w:rsidRDefault="00CA7F2D" w:rsidP="00CA7F2D">
      <w:pPr>
        <w:pStyle w:val="Titre4"/>
        <w:rPr>
          <w:rFonts w:ascii="Calibri" w:hAnsi="Calibri"/>
        </w:rPr>
      </w:pPr>
      <w:r w:rsidRPr="00CA7F2D">
        <w:rPr>
          <w:caps w:val="0"/>
        </w:rPr>
        <w:t xml:space="preserve">Pour </w:t>
      </w:r>
      <w:r w:rsidR="003031D1" w:rsidRPr="00CA7F2D">
        <w:rPr>
          <w:caps w:val="0"/>
        </w:rPr>
        <w:t>sécuriser</w:t>
      </w:r>
      <w:r w:rsidRPr="00CA7F2D">
        <w:rPr>
          <w:caps w:val="0"/>
        </w:rPr>
        <w:t xml:space="preserve"> </w:t>
      </w:r>
      <w:r w:rsidR="003031D1">
        <w:rPr>
          <w:caps w:val="0"/>
        </w:rPr>
        <w:t>votre O</w:t>
      </w:r>
      <w:r w:rsidRPr="00CA7F2D">
        <w:rPr>
          <w:caps w:val="0"/>
        </w:rPr>
        <w:t xml:space="preserve">gec en </w:t>
      </w:r>
      <w:r w:rsidR="003031D1" w:rsidRPr="00CA7F2D">
        <w:rPr>
          <w:caps w:val="0"/>
        </w:rPr>
        <w:t>matière</w:t>
      </w:r>
      <w:r w:rsidRPr="00CA7F2D">
        <w:rPr>
          <w:caps w:val="0"/>
        </w:rPr>
        <w:t xml:space="preserve"> de risques fiscaux </w:t>
      </w:r>
      <w:r w:rsidR="003031D1" w:rsidRPr="00CA7F2D">
        <w:rPr>
          <w:caps w:val="0"/>
        </w:rPr>
        <w:t>éventuels</w:t>
      </w:r>
      <w:r w:rsidRPr="00CA7F2D">
        <w:rPr>
          <w:caps w:val="0"/>
        </w:rPr>
        <w:t xml:space="preserve">, </w:t>
      </w:r>
      <w:r w:rsidR="003031D1">
        <w:rPr>
          <w:caps w:val="0"/>
        </w:rPr>
        <w:t xml:space="preserve">la </w:t>
      </w:r>
      <w:proofErr w:type="spellStart"/>
      <w:r w:rsidR="003031D1">
        <w:rPr>
          <w:caps w:val="0"/>
        </w:rPr>
        <w:t>Fnogec</w:t>
      </w:r>
      <w:proofErr w:type="spellEnd"/>
      <w:r w:rsidR="003031D1">
        <w:rPr>
          <w:caps w:val="0"/>
        </w:rPr>
        <w:t xml:space="preserve"> vous</w:t>
      </w:r>
      <w:r w:rsidRPr="00CA7F2D">
        <w:rPr>
          <w:caps w:val="0"/>
        </w:rPr>
        <w:t xml:space="preserve"> </w:t>
      </w:r>
      <w:r w:rsidR="003031D1" w:rsidRPr="00CA7F2D">
        <w:rPr>
          <w:caps w:val="0"/>
        </w:rPr>
        <w:t>conseill</w:t>
      </w:r>
      <w:r w:rsidR="003031D1">
        <w:rPr>
          <w:caps w:val="0"/>
        </w:rPr>
        <w:t>e</w:t>
      </w:r>
      <w:r w:rsidRPr="00CA7F2D">
        <w:rPr>
          <w:caps w:val="0"/>
        </w:rPr>
        <w:t xml:space="preserve"> </w:t>
      </w:r>
      <w:r w:rsidRPr="003031D1">
        <w:rPr>
          <w:caps w:val="0"/>
        </w:rPr>
        <w:t>d’</w:t>
      </w:r>
      <w:r w:rsidRPr="003031D1">
        <w:rPr>
          <w:b/>
          <w:caps w:val="0"/>
        </w:rPr>
        <w:t xml:space="preserve">obtenir de </w:t>
      </w:r>
      <w:r w:rsidR="003031D1">
        <w:rPr>
          <w:b/>
          <w:caps w:val="0"/>
        </w:rPr>
        <w:t>votre</w:t>
      </w:r>
      <w:r w:rsidRPr="003031D1">
        <w:rPr>
          <w:b/>
          <w:caps w:val="0"/>
        </w:rPr>
        <w:t xml:space="preserve"> banque la confirmation de la </w:t>
      </w:r>
      <w:r w:rsidR="003031D1" w:rsidRPr="003031D1">
        <w:rPr>
          <w:b/>
          <w:caps w:val="0"/>
        </w:rPr>
        <w:t>fiscalité</w:t>
      </w:r>
      <w:r w:rsidRPr="003031D1">
        <w:rPr>
          <w:b/>
          <w:caps w:val="0"/>
        </w:rPr>
        <w:t xml:space="preserve"> applicable sur les supports de placement choisis.</w:t>
      </w:r>
    </w:p>
    <w:p w14:paraId="37904753" w14:textId="77777777" w:rsidR="002D4A1E" w:rsidRDefault="002D4A1E">
      <w:pPr>
        <w:ind w:firstLine="0"/>
      </w:pPr>
    </w:p>
    <w:p w14:paraId="6AFEB2E6" w14:textId="505A698E" w:rsidR="0090020F" w:rsidRDefault="0090020F">
      <w:pPr>
        <w:ind w:firstLine="0"/>
        <w:rPr>
          <w:rFonts w:eastAsiaTheme="majorEastAsia" w:cstheme="majorBidi"/>
          <w:caps/>
          <w:color w:val="00AAC3"/>
          <w:spacing w:val="20"/>
          <w:sz w:val="28"/>
        </w:rPr>
      </w:pPr>
      <w:r>
        <w:br w:type="page"/>
      </w:r>
    </w:p>
    <w:p w14:paraId="2D51688C" w14:textId="33FC2405" w:rsidR="00C838AC" w:rsidRPr="008354C2" w:rsidRDefault="00C838AC" w:rsidP="003031D1">
      <w:pPr>
        <w:pStyle w:val="Titre1"/>
      </w:pPr>
      <w:r w:rsidRPr="008354C2">
        <w:lastRenderedPageBreak/>
        <w:t xml:space="preserve">Fiscalité des revenus mobiliers, en l'état actuel de la législation fiscale, pour les associations non assujetties aux impôts commerciaux </w:t>
      </w:r>
      <w:r w:rsidRPr="008354C2">
        <w:rPr>
          <w:i/>
        </w:rPr>
        <w:t>(art. 206-5 du CGI).</w:t>
      </w:r>
    </w:p>
    <w:p w14:paraId="27247C2E" w14:textId="77777777" w:rsidR="00C838AC" w:rsidRPr="008354C2" w:rsidRDefault="00C838AC" w:rsidP="007805CA">
      <w:pPr>
        <w:shd w:val="clear" w:color="auto" w:fill="FFFFFF"/>
        <w:spacing w:line="276" w:lineRule="auto"/>
        <w:rPr>
          <w:rFonts w:asciiTheme="majorHAnsi" w:eastAsia="Times New Roman" w:hAnsiTheme="majorHAnsi" w:cstheme="majorHAnsi"/>
          <w:color w:val="333333"/>
        </w:rPr>
      </w:pPr>
    </w:p>
    <w:tbl>
      <w:tblPr>
        <w:tblStyle w:val="TableauGrille4-Accentuation5"/>
        <w:tblW w:w="0" w:type="auto"/>
        <w:tblLook w:val="04A0" w:firstRow="1" w:lastRow="0" w:firstColumn="1" w:lastColumn="0" w:noHBand="0" w:noVBand="1"/>
      </w:tblPr>
      <w:tblGrid>
        <w:gridCol w:w="3690"/>
        <w:gridCol w:w="3030"/>
        <w:gridCol w:w="1920"/>
      </w:tblGrid>
      <w:tr w:rsidR="001073E2" w:rsidRPr="0003047B" w14:paraId="4B7723B1" w14:textId="77777777" w:rsidTr="00107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vAlign w:val="center"/>
            <w:hideMark/>
          </w:tcPr>
          <w:p w14:paraId="3DBCC8D4" w14:textId="77777777" w:rsidR="00C838AC" w:rsidRPr="0003047B" w:rsidRDefault="00C838AC" w:rsidP="001073E2">
            <w:pPr>
              <w:spacing w:line="276" w:lineRule="auto"/>
              <w:ind w:firstLine="0"/>
              <w:jc w:val="center"/>
              <w:rPr>
                <w:rFonts w:asciiTheme="majorHAnsi" w:eastAsia="Times New Roman" w:hAnsiTheme="majorHAnsi" w:cstheme="majorHAnsi"/>
                <w:bCs w:val="0"/>
                <w:sz w:val="22"/>
                <w:szCs w:val="22"/>
              </w:rPr>
            </w:pPr>
            <w:r w:rsidRPr="0003047B">
              <w:rPr>
                <w:rFonts w:asciiTheme="majorHAnsi" w:eastAsia="Times New Roman" w:hAnsiTheme="majorHAnsi" w:cstheme="majorHAnsi"/>
                <w:sz w:val="22"/>
                <w:szCs w:val="22"/>
              </w:rPr>
              <w:t>Types de placement</w:t>
            </w:r>
          </w:p>
        </w:tc>
        <w:tc>
          <w:tcPr>
            <w:tcW w:w="3030" w:type="dxa"/>
            <w:vAlign w:val="center"/>
            <w:hideMark/>
          </w:tcPr>
          <w:p w14:paraId="0E7137DF" w14:textId="77777777" w:rsidR="00C838AC" w:rsidRPr="0003047B" w:rsidRDefault="00C838AC" w:rsidP="001073E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2"/>
              </w:rPr>
            </w:pPr>
            <w:r w:rsidRPr="0003047B">
              <w:rPr>
                <w:rFonts w:asciiTheme="majorHAnsi" w:eastAsia="Times New Roman" w:hAnsiTheme="majorHAnsi" w:cstheme="majorHAnsi"/>
                <w:sz w:val="22"/>
                <w:szCs w:val="22"/>
              </w:rPr>
              <w:t>Taux d'imposition des revenus</w:t>
            </w:r>
          </w:p>
        </w:tc>
        <w:tc>
          <w:tcPr>
            <w:tcW w:w="1920" w:type="dxa"/>
            <w:vAlign w:val="center"/>
            <w:hideMark/>
          </w:tcPr>
          <w:p w14:paraId="28792B19" w14:textId="77777777" w:rsidR="00C838AC" w:rsidRPr="0003047B" w:rsidRDefault="00C838AC" w:rsidP="001073E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2"/>
              </w:rPr>
            </w:pPr>
            <w:r w:rsidRPr="0003047B">
              <w:rPr>
                <w:rFonts w:asciiTheme="majorHAnsi" w:eastAsia="Times New Roman" w:hAnsiTheme="majorHAnsi" w:cstheme="majorHAnsi"/>
                <w:sz w:val="22"/>
                <w:szCs w:val="22"/>
              </w:rPr>
              <w:t>Déclaration à faire</w:t>
            </w:r>
          </w:p>
        </w:tc>
      </w:tr>
      <w:tr w:rsidR="00AA210B" w:rsidRPr="0003047B" w14:paraId="11F95BD9" w14:textId="77777777" w:rsidTr="0010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1BD298E" w14:textId="0C8B8873" w:rsidR="00AA210B" w:rsidRPr="0003047B" w:rsidRDefault="009C03A0"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Livrets A</w:t>
            </w:r>
          </w:p>
        </w:tc>
        <w:tc>
          <w:tcPr>
            <w:tcW w:w="3030" w:type="dxa"/>
          </w:tcPr>
          <w:p w14:paraId="30F02034" w14:textId="4BAE8161" w:rsidR="00AA210B" w:rsidRPr="0003047B" w:rsidRDefault="0003047B"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Sans objet</w:t>
            </w:r>
          </w:p>
        </w:tc>
        <w:tc>
          <w:tcPr>
            <w:tcW w:w="1920" w:type="dxa"/>
          </w:tcPr>
          <w:p w14:paraId="071028C9" w14:textId="77777777" w:rsidR="00AA210B" w:rsidRPr="0003047B" w:rsidRDefault="00AA210B"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p>
        </w:tc>
      </w:tr>
      <w:tr w:rsidR="00AA210B" w:rsidRPr="0003047B" w14:paraId="4EDCACCD" w14:textId="77777777" w:rsidTr="001073E2">
        <w:tc>
          <w:tcPr>
            <w:cnfStyle w:val="001000000000" w:firstRow="0" w:lastRow="0" w:firstColumn="1" w:lastColumn="0" w:oddVBand="0" w:evenVBand="0" w:oddHBand="0" w:evenHBand="0" w:firstRowFirstColumn="0" w:firstRowLastColumn="0" w:lastRowFirstColumn="0" w:lastRowLastColumn="0"/>
            <w:tcW w:w="3690" w:type="dxa"/>
          </w:tcPr>
          <w:p w14:paraId="0A317574" w14:textId="51E18E2D" w:rsidR="00AA210B" w:rsidRPr="0003047B" w:rsidRDefault="00B371F9"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 xml:space="preserve">Livrets </w:t>
            </w:r>
            <w:r w:rsidR="00E13B36" w:rsidRPr="0003047B">
              <w:rPr>
                <w:rFonts w:asciiTheme="majorHAnsi" w:eastAsia="Times New Roman" w:hAnsiTheme="majorHAnsi" w:cstheme="majorHAnsi"/>
                <w:b w:val="0"/>
                <w:sz w:val="22"/>
                <w:szCs w:val="22"/>
              </w:rPr>
              <w:t>« </w:t>
            </w:r>
            <w:r w:rsidRPr="0003047B">
              <w:rPr>
                <w:rFonts w:asciiTheme="majorHAnsi" w:eastAsia="Times New Roman" w:hAnsiTheme="majorHAnsi" w:cstheme="majorHAnsi"/>
                <w:b w:val="0"/>
                <w:sz w:val="22"/>
                <w:szCs w:val="22"/>
              </w:rPr>
              <w:t>bleus</w:t>
            </w:r>
            <w:r w:rsidR="00E13B36" w:rsidRPr="0003047B">
              <w:rPr>
                <w:rFonts w:asciiTheme="majorHAnsi" w:eastAsia="Times New Roman" w:hAnsiTheme="majorHAnsi" w:cstheme="majorHAnsi"/>
                <w:b w:val="0"/>
                <w:sz w:val="22"/>
                <w:szCs w:val="22"/>
              </w:rPr>
              <w:t> »</w:t>
            </w:r>
          </w:p>
        </w:tc>
        <w:tc>
          <w:tcPr>
            <w:tcW w:w="3030" w:type="dxa"/>
          </w:tcPr>
          <w:p w14:paraId="26739139" w14:textId="4C1097CA" w:rsidR="00AA210B" w:rsidRPr="0003047B" w:rsidRDefault="0003047B"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Sans objet</w:t>
            </w:r>
          </w:p>
        </w:tc>
        <w:tc>
          <w:tcPr>
            <w:tcW w:w="1920" w:type="dxa"/>
          </w:tcPr>
          <w:p w14:paraId="3A970662" w14:textId="77777777" w:rsidR="00AA210B" w:rsidRPr="0003047B" w:rsidRDefault="00AA210B"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p>
        </w:tc>
      </w:tr>
      <w:tr w:rsidR="001073E2" w:rsidRPr="0003047B" w14:paraId="4A05C4BE" w14:textId="77777777" w:rsidTr="0010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14:paraId="34A10D53" w14:textId="434DA8E3"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 xml:space="preserve">Compte à </w:t>
            </w:r>
            <w:r w:rsidR="00387D26" w:rsidRPr="0003047B">
              <w:rPr>
                <w:rFonts w:asciiTheme="majorHAnsi" w:eastAsia="Times New Roman" w:hAnsiTheme="majorHAnsi" w:cstheme="majorHAnsi"/>
                <w:b w:val="0"/>
                <w:sz w:val="22"/>
                <w:szCs w:val="22"/>
              </w:rPr>
              <w:t>t</w:t>
            </w:r>
            <w:r w:rsidRPr="0003047B">
              <w:rPr>
                <w:rFonts w:asciiTheme="majorHAnsi" w:eastAsia="Times New Roman" w:hAnsiTheme="majorHAnsi" w:cstheme="majorHAnsi"/>
                <w:b w:val="0"/>
                <w:sz w:val="22"/>
                <w:szCs w:val="22"/>
              </w:rPr>
              <w:t>erme (intérêts périodiques)</w:t>
            </w:r>
          </w:p>
        </w:tc>
        <w:tc>
          <w:tcPr>
            <w:tcW w:w="3030" w:type="dxa"/>
            <w:hideMark/>
          </w:tcPr>
          <w:p w14:paraId="218902B2"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24%</w:t>
            </w:r>
          </w:p>
        </w:tc>
        <w:tc>
          <w:tcPr>
            <w:tcW w:w="1920" w:type="dxa"/>
            <w:hideMark/>
          </w:tcPr>
          <w:p w14:paraId="20391C77"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C838AC" w:rsidRPr="0003047B" w14:paraId="4E45B26F" w14:textId="77777777" w:rsidTr="001073E2">
        <w:tc>
          <w:tcPr>
            <w:cnfStyle w:val="001000000000" w:firstRow="0" w:lastRow="0" w:firstColumn="1" w:lastColumn="0" w:oddVBand="0" w:evenVBand="0" w:oddHBand="0" w:evenHBand="0" w:firstRowFirstColumn="0" w:firstRowLastColumn="0" w:lastRowFirstColumn="0" w:lastRowLastColumn="0"/>
            <w:tcW w:w="3690" w:type="dxa"/>
            <w:hideMark/>
          </w:tcPr>
          <w:p w14:paraId="5A5979C0" w14:textId="753F2E11"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 xml:space="preserve">Compte à </w:t>
            </w:r>
            <w:r w:rsidR="00387D26" w:rsidRPr="0003047B">
              <w:rPr>
                <w:rFonts w:asciiTheme="majorHAnsi" w:eastAsia="Times New Roman" w:hAnsiTheme="majorHAnsi" w:cstheme="majorHAnsi"/>
                <w:b w:val="0"/>
                <w:sz w:val="22"/>
                <w:szCs w:val="22"/>
              </w:rPr>
              <w:t>t</w:t>
            </w:r>
            <w:r w:rsidRPr="0003047B">
              <w:rPr>
                <w:rFonts w:asciiTheme="majorHAnsi" w:eastAsia="Times New Roman" w:hAnsiTheme="majorHAnsi" w:cstheme="majorHAnsi"/>
                <w:b w:val="0"/>
                <w:sz w:val="22"/>
                <w:szCs w:val="22"/>
              </w:rPr>
              <w:t>erme (intérêts à échéance)</w:t>
            </w:r>
          </w:p>
        </w:tc>
        <w:tc>
          <w:tcPr>
            <w:tcW w:w="3030" w:type="dxa"/>
            <w:hideMark/>
          </w:tcPr>
          <w:p w14:paraId="35A09497"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10%</w:t>
            </w:r>
          </w:p>
        </w:tc>
        <w:tc>
          <w:tcPr>
            <w:tcW w:w="1920" w:type="dxa"/>
            <w:hideMark/>
          </w:tcPr>
          <w:p w14:paraId="6C713686"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1073E2" w:rsidRPr="0003047B" w14:paraId="6AFB8B31" w14:textId="77777777" w:rsidTr="0010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14:paraId="62DB1A9F" w14:textId="40855E2A"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 xml:space="preserve">Compte sur </w:t>
            </w:r>
            <w:r w:rsidR="00387D26" w:rsidRPr="0003047B">
              <w:rPr>
                <w:rFonts w:asciiTheme="majorHAnsi" w:eastAsia="Times New Roman" w:hAnsiTheme="majorHAnsi" w:cstheme="majorHAnsi"/>
                <w:b w:val="0"/>
                <w:sz w:val="22"/>
                <w:szCs w:val="22"/>
              </w:rPr>
              <w:t>l</w:t>
            </w:r>
            <w:r w:rsidRPr="0003047B">
              <w:rPr>
                <w:rFonts w:asciiTheme="majorHAnsi" w:eastAsia="Times New Roman" w:hAnsiTheme="majorHAnsi" w:cstheme="majorHAnsi"/>
                <w:b w:val="0"/>
                <w:sz w:val="22"/>
                <w:szCs w:val="22"/>
              </w:rPr>
              <w:t>ivret</w:t>
            </w:r>
          </w:p>
        </w:tc>
        <w:tc>
          <w:tcPr>
            <w:tcW w:w="3030" w:type="dxa"/>
            <w:hideMark/>
          </w:tcPr>
          <w:p w14:paraId="0A993ED9"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24%</w:t>
            </w:r>
          </w:p>
        </w:tc>
        <w:tc>
          <w:tcPr>
            <w:tcW w:w="1920" w:type="dxa"/>
            <w:hideMark/>
          </w:tcPr>
          <w:p w14:paraId="340CD2B0"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C838AC" w:rsidRPr="0003047B" w14:paraId="2C89A896" w14:textId="77777777" w:rsidTr="001073E2">
        <w:tc>
          <w:tcPr>
            <w:cnfStyle w:val="001000000000" w:firstRow="0" w:lastRow="0" w:firstColumn="1" w:lastColumn="0" w:oddVBand="0" w:evenVBand="0" w:oddHBand="0" w:evenHBand="0" w:firstRowFirstColumn="0" w:firstRowLastColumn="0" w:lastRowFirstColumn="0" w:lastRowLastColumn="0"/>
            <w:tcW w:w="3690" w:type="dxa"/>
            <w:hideMark/>
          </w:tcPr>
          <w:p w14:paraId="4F17CE29" w14:textId="40FA282E"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 xml:space="preserve">Certificats de </w:t>
            </w:r>
            <w:r w:rsidR="00387D26" w:rsidRPr="0003047B">
              <w:rPr>
                <w:rFonts w:asciiTheme="majorHAnsi" w:eastAsia="Times New Roman" w:hAnsiTheme="majorHAnsi" w:cstheme="majorHAnsi"/>
                <w:b w:val="0"/>
                <w:sz w:val="22"/>
                <w:szCs w:val="22"/>
              </w:rPr>
              <w:t>d</w:t>
            </w:r>
            <w:r w:rsidRPr="0003047B">
              <w:rPr>
                <w:rFonts w:asciiTheme="majorHAnsi" w:eastAsia="Times New Roman" w:hAnsiTheme="majorHAnsi" w:cstheme="majorHAnsi"/>
                <w:b w:val="0"/>
                <w:sz w:val="22"/>
                <w:szCs w:val="22"/>
              </w:rPr>
              <w:t>épôts</w:t>
            </w:r>
            <w:r w:rsidR="00387D26" w:rsidRPr="0003047B">
              <w:rPr>
                <w:rFonts w:asciiTheme="majorHAnsi" w:eastAsia="Times New Roman" w:hAnsiTheme="majorHAnsi" w:cstheme="majorHAnsi"/>
                <w:b w:val="0"/>
                <w:sz w:val="22"/>
                <w:szCs w:val="22"/>
              </w:rPr>
              <w:t>,</w:t>
            </w:r>
            <w:r w:rsidRPr="0003047B">
              <w:rPr>
                <w:rFonts w:asciiTheme="majorHAnsi" w:eastAsia="Times New Roman" w:hAnsiTheme="majorHAnsi" w:cstheme="majorHAnsi"/>
                <w:b w:val="0"/>
                <w:sz w:val="22"/>
                <w:szCs w:val="22"/>
              </w:rPr>
              <w:t xml:space="preserve"> Billets de trésorerie BMTN-Bons moyen terme négociables</w:t>
            </w:r>
          </w:p>
        </w:tc>
        <w:tc>
          <w:tcPr>
            <w:tcW w:w="3030" w:type="dxa"/>
            <w:hideMark/>
          </w:tcPr>
          <w:p w14:paraId="5F4CE25E"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10%</w:t>
            </w:r>
          </w:p>
        </w:tc>
        <w:tc>
          <w:tcPr>
            <w:tcW w:w="1920" w:type="dxa"/>
            <w:hideMark/>
          </w:tcPr>
          <w:p w14:paraId="23952A6F"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 si revenus  </w:t>
            </w:r>
          </w:p>
        </w:tc>
      </w:tr>
      <w:tr w:rsidR="001073E2" w:rsidRPr="0003047B" w14:paraId="3D992AB7" w14:textId="77777777" w:rsidTr="0010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14:paraId="3815482D" w14:textId="77777777"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Actions françaises</w:t>
            </w:r>
          </w:p>
        </w:tc>
        <w:tc>
          <w:tcPr>
            <w:tcW w:w="3030" w:type="dxa"/>
            <w:hideMark/>
          </w:tcPr>
          <w:p w14:paraId="237EBD57"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15%</w:t>
            </w:r>
          </w:p>
        </w:tc>
        <w:tc>
          <w:tcPr>
            <w:tcW w:w="1920" w:type="dxa"/>
            <w:hideMark/>
          </w:tcPr>
          <w:p w14:paraId="50328806"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C838AC" w:rsidRPr="0003047B" w14:paraId="73364710" w14:textId="77777777" w:rsidTr="001073E2">
        <w:tc>
          <w:tcPr>
            <w:cnfStyle w:val="001000000000" w:firstRow="0" w:lastRow="0" w:firstColumn="1" w:lastColumn="0" w:oddVBand="0" w:evenVBand="0" w:oddHBand="0" w:evenHBand="0" w:firstRowFirstColumn="0" w:firstRowLastColumn="0" w:lastRowFirstColumn="0" w:lastRowLastColumn="0"/>
            <w:tcW w:w="3690" w:type="dxa"/>
            <w:hideMark/>
          </w:tcPr>
          <w:p w14:paraId="380894D5" w14:textId="6B50E272"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 xml:space="preserve">Obligations </w:t>
            </w:r>
            <w:r w:rsidR="00387D26" w:rsidRPr="0003047B">
              <w:rPr>
                <w:rFonts w:asciiTheme="majorHAnsi" w:eastAsia="Times New Roman" w:hAnsiTheme="majorHAnsi" w:cstheme="majorHAnsi"/>
                <w:b w:val="0"/>
                <w:sz w:val="22"/>
                <w:szCs w:val="22"/>
              </w:rPr>
              <w:t>f</w:t>
            </w:r>
            <w:r w:rsidRPr="0003047B">
              <w:rPr>
                <w:rFonts w:asciiTheme="majorHAnsi" w:eastAsia="Times New Roman" w:hAnsiTheme="majorHAnsi" w:cstheme="majorHAnsi"/>
                <w:b w:val="0"/>
                <w:sz w:val="22"/>
                <w:szCs w:val="22"/>
              </w:rPr>
              <w:t>rançaises (émises après le 01/01/1987)</w:t>
            </w:r>
          </w:p>
        </w:tc>
        <w:tc>
          <w:tcPr>
            <w:tcW w:w="3030" w:type="dxa"/>
            <w:hideMark/>
          </w:tcPr>
          <w:p w14:paraId="3C428DDD"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10%</w:t>
            </w:r>
          </w:p>
        </w:tc>
        <w:tc>
          <w:tcPr>
            <w:tcW w:w="1920" w:type="dxa"/>
            <w:hideMark/>
          </w:tcPr>
          <w:p w14:paraId="604932FF"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1073E2" w:rsidRPr="0003047B" w14:paraId="337B4C13" w14:textId="77777777" w:rsidTr="0010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14:paraId="04511645" w14:textId="77777777"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Emprunts d’État (émis après le 01/01/87)</w:t>
            </w:r>
          </w:p>
        </w:tc>
        <w:tc>
          <w:tcPr>
            <w:tcW w:w="3030" w:type="dxa"/>
            <w:hideMark/>
          </w:tcPr>
          <w:p w14:paraId="35D00672"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10%</w:t>
            </w:r>
          </w:p>
        </w:tc>
        <w:tc>
          <w:tcPr>
            <w:tcW w:w="1920" w:type="dxa"/>
            <w:hideMark/>
          </w:tcPr>
          <w:p w14:paraId="089411CB"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C838AC" w:rsidRPr="0003047B" w14:paraId="3206C97F" w14:textId="77777777" w:rsidTr="001073E2">
        <w:tc>
          <w:tcPr>
            <w:cnfStyle w:val="001000000000" w:firstRow="0" w:lastRow="0" w:firstColumn="1" w:lastColumn="0" w:oddVBand="0" w:evenVBand="0" w:oddHBand="0" w:evenHBand="0" w:firstRowFirstColumn="0" w:firstRowLastColumn="0" w:lastRowFirstColumn="0" w:lastRowLastColumn="0"/>
            <w:tcW w:w="3690" w:type="dxa"/>
            <w:hideMark/>
          </w:tcPr>
          <w:p w14:paraId="1C2238A4" w14:textId="77777777"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Valeurs Mobilières Étrangères Obligations</w:t>
            </w:r>
          </w:p>
        </w:tc>
        <w:tc>
          <w:tcPr>
            <w:tcW w:w="3030" w:type="dxa"/>
            <w:hideMark/>
          </w:tcPr>
          <w:p w14:paraId="67E3A6D8"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24%</w:t>
            </w:r>
          </w:p>
        </w:tc>
        <w:tc>
          <w:tcPr>
            <w:tcW w:w="1920" w:type="dxa"/>
            <w:hideMark/>
          </w:tcPr>
          <w:p w14:paraId="2384A04F"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1073E2" w:rsidRPr="0003047B" w14:paraId="0CFD00D4" w14:textId="77777777" w:rsidTr="0010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14:paraId="496CDBF6" w14:textId="77777777"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Actions et SICAV</w:t>
            </w:r>
          </w:p>
        </w:tc>
        <w:tc>
          <w:tcPr>
            <w:tcW w:w="3030" w:type="dxa"/>
            <w:hideMark/>
          </w:tcPr>
          <w:p w14:paraId="703F4980"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15%</w:t>
            </w:r>
          </w:p>
        </w:tc>
        <w:tc>
          <w:tcPr>
            <w:tcW w:w="1920" w:type="dxa"/>
            <w:hideMark/>
          </w:tcPr>
          <w:p w14:paraId="46F3AB3C"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C838AC" w:rsidRPr="0003047B" w14:paraId="7567A8F4" w14:textId="77777777" w:rsidTr="001073E2">
        <w:tc>
          <w:tcPr>
            <w:cnfStyle w:val="001000000000" w:firstRow="0" w:lastRow="0" w:firstColumn="1" w:lastColumn="0" w:oddVBand="0" w:evenVBand="0" w:oddHBand="0" w:evenHBand="0" w:firstRowFirstColumn="0" w:firstRowLastColumn="0" w:lastRowFirstColumn="0" w:lastRowLastColumn="0"/>
            <w:tcW w:w="3690" w:type="dxa"/>
            <w:hideMark/>
          </w:tcPr>
          <w:p w14:paraId="61158B4C" w14:textId="77777777"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SICAV françaises de distribution</w:t>
            </w:r>
          </w:p>
        </w:tc>
        <w:tc>
          <w:tcPr>
            <w:tcW w:w="3030" w:type="dxa"/>
            <w:hideMark/>
          </w:tcPr>
          <w:p w14:paraId="128DCAFD"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15%</w:t>
            </w:r>
          </w:p>
        </w:tc>
        <w:tc>
          <w:tcPr>
            <w:tcW w:w="1920" w:type="dxa"/>
            <w:hideMark/>
          </w:tcPr>
          <w:p w14:paraId="64B1005C"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1073E2" w:rsidRPr="0003047B" w14:paraId="52CD5139" w14:textId="77777777" w:rsidTr="0010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14:paraId="24C9892F" w14:textId="77777777"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SICAV de capitalisation</w:t>
            </w:r>
          </w:p>
        </w:tc>
        <w:tc>
          <w:tcPr>
            <w:tcW w:w="3030" w:type="dxa"/>
            <w:hideMark/>
          </w:tcPr>
          <w:p w14:paraId="62A0A351"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Sans objet</w:t>
            </w:r>
          </w:p>
        </w:tc>
        <w:tc>
          <w:tcPr>
            <w:tcW w:w="1920" w:type="dxa"/>
            <w:hideMark/>
          </w:tcPr>
          <w:p w14:paraId="47A6530F"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 </w:t>
            </w:r>
          </w:p>
        </w:tc>
      </w:tr>
      <w:tr w:rsidR="00C838AC" w:rsidRPr="0003047B" w14:paraId="4701B281" w14:textId="77777777" w:rsidTr="001073E2">
        <w:tc>
          <w:tcPr>
            <w:cnfStyle w:val="001000000000" w:firstRow="0" w:lastRow="0" w:firstColumn="1" w:lastColumn="0" w:oddVBand="0" w:evenVBand="0" w:oddHBand="0" w:evenHBand="0" w:firstRowFirstColumn="0" w:firstRowLastColumn="0" w:lastRowFirstColumn="0" w:lastRowLastColumn="0"/>
            <w:tcW w:w="3690" w:type="dxa"/>
            <w:hideMark/>
          </w:tcPr>
          <w:p w14:paraId="29B1CB54" w14:textId="77777777"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FCP de distribution</w:t>
            </w:r>
          </w:p>
        </w:tc>
        <w:tc>
          <w:tcPr>
            <w:tcW w:w="3030" w:type="dxa"/>
            <w:hideMark/>
          </w:tcPr>
          <w:p w14:paraId="24D22444"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IS au taux de 10, 15 % ou 24 % selon la fiscalité applicable aux produits répartis par le FCP</w:t>
            </w:r>
          </w:p>
        </w:tc>
        <w:tc>
          <w:tcPr>
            <w:tcW w:w="1920" w:type="dxa"/>
            <w:hideMark/>
          </w:tcPr>
          <w:p w14:paraId="2CC61ADF" w14:textId="77777777" w:rsidR="00C838AC" w:rsidRPr="0003047B" w:rsidRDefault="00C838AC" w:rsidP="00121F0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OUI</w:t>
            </w:r>
          </w:p>
        </w:tc>
      </w:tr>
      <w:tr w:rsidR="001073E2" w:rsidRPr="0003047B" w14:paraId="011B8147" w14:textId="77777777" w:rsidTr="0010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hideMark/>
          </w:tcPr>
          <w:p w14:paraId="2729E25F" w14:textId="77777777" w:rsidR="00C838AC" w:rsidRPr="0003047B" w:rsidRDefault="00C838AC" w:rsidP="00344EA3">
            <w:pPr>
              <w:spacing w:line="276" w:lineRule="auto"/>
              <w:ind w:firstLine="0"/>
              <w:rPr>
                <w:rFonts w:asciiTheme="majorHAnsi" w:eastAsia="Times New Roman" w:hAnsiTheme="majorHAnsi" w:cstheme="majorHAnsi"/>
                <w:b w:val="0"/>
                <w:sz w:val="22"/>
                <w:szCs w:val="22"/>
              </w:rPr>
            </w:pPr>
            <w:r w:rsidRPr="0003047B">
              <w:rPr>
                <w:rFonts w:asciiTheme="majorHAnsi" w:eastAsia="Times New Roman" w:hAnsiTheme="majorHAnsi" w:cstheme="majorHAnsi"/>
                <w:b w:val="0"/>
                <w:sz w:val="22"/>
                <w:szCs w:val="22"/>
              </w:rPr>
              <w:t>FCP de capitalisation</w:t>
            </w:r>
          </w:p>
        </w:tc>
        <w:tc>
          <w:tcPr>
            <w:tcW w:w="3030" w:type="dxa"/>
            <w:hideMark/>
          </w:tcPr>
          <w:p w14:paraId="0CDE1262"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Sans objet</w:t>
            </w:r>
          </w:p>
        </w:tc>
        <w:tc>
          <w:tcPr>
            <w:tcW w:w="1920" w:type="dxa"/>
            <w:hideMark/>
          </w:tcPr>
          <w:p w14:paraId="3E73F219" w14:textId="77777777" w:rsidR="00C838AC" w:rsidRPr="0003047B" w:rsidRDefault="00C838AC" w:rsidP="00121F0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sidRPr="0003047B">
              <w:rPr>
                <w:rFonts w:asciiTheme="majorHAnsi" w:eastAsia="Times New Roman" w:hAnsiTheme="majorHAnsi" w:cstheme="majorHAnsi"/>
                <w:sz w:val="22"/>
                <w:szCs w:val="22"/>
              </w:rPr>
              <w:t> </w:t>
            </w:r>
          </w:p>
        </w:tc>
      </w:tr>
    </w:tbl>
    <w:p w14:paraId="173B2C41" w14:textId="77777777" w:rsidR="00C838AC" w:rsidRPr="008354C2" w:rsidRDefault="00C838AC" w:rsidP="007805CA">
      <w:pPr>
        <w:pStyle w:val="Standard"/>
        <w:spacing w:line="276" w:lineRule="auto"/>
        <w:rPr>
          <w:rFonts w:asciiTheme="majorHAnsi" w:hAnsiTheme="majorHAnsi" w:cstheme="majorHAnsi"/>
          <w:sz w:val="24"/>
          <w:szCs w:val="24"/>
        </w:rPr>
      </w:pPr>
      <w:bookmarkStart w:id="1" w:name="_GoBack"/>
      <w:bookmarkEnd w:id="1"/>
    </w:p>
    <w:sectPr w:rsidR="00C838AC" w:rsidRPr="008354C2" w:rsidSect="00E93280">
      <w:headerReference w:type="even" r:id="rId16"/>
      <w:headerReference w:type="default" r:id="rId17"/>
      <w:footerReference w:type="even" r:id="rId18"/>
      <w:footerReference w:type="default" r:id="rId19"/>
      <w:headerReference w:type="first" r:id="rId20"/>
      <w:pgSz w:w="11900" w:h="16840"/>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7F919" w14:textId="77777777" w:rsidR="002C2A7A" w:rsidRDefault="002C2A7A" w:rsidP="009B68BC">
      <w:r>
        <w:separator/>
      </w:r>
    </w:p>
  </w:endnote>
  <w:endnote w:type="continuationSeparator" w:id="0">
    <w:p w14:paraId="0018F2C2" w14:textId="77777777" w:rsidR="002C2A7A" w:rsidRDefault="002C2A7A" w:rsidP="009B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2"/>
    <w:family w:val="auto"/>
    <w:pitch w:val="default"/>
  </w:font>
  <w:font w:name="OpenSymbol">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F2547" w14:textId="5933F1B7" w:rsidR="007435C7" w:rsidRPr="00C501F7" w:rsidRDefault="007435C7" w:rsidP="006F1710">
    <w:pPr>
      <w:pStyle w:val="Pieddepage"/>
      <w:framePr w:wrap="around" w:vAnchor="text" w:hAnchor="margin" w:xAlign="inside" w:y="1"/>
      <w:rPr>
        <w:rStyle w:val="Numrodepage"/>
        <w:color w:val="00B6DD"/>
        <w:sz w:val="16"/>
        <w:szCs w:val="16"/>
      </w:rPr>
    </w:pPr>
    <w:r w:rsidRPr="00C501F7">
      <w:rPr>
        <w:rStyle w:val="Numrodepage"/>
        <w:color w:val="00B6DD"/>
        <w:sz w:val="16"/>
        <w:szCs w:val="16"/>
      </w:rPr>
      <w:fldChar w:fldCharType="begin"/>
    </w:r>
    <w:r w:rsidRPr="00C501F7">
      <w:rPr>
        <w:rStyle w:val="Numrodepage"/>
        <w:color w:val="00B6DD"/>
        <w:sz w:val="16"/>
        <w:szCs w:val="16"/>
      </w:rPr>
      <w:instrText xml:space="preserve">PAGE  </w:instrText>
    </w:r>
    <w:r w:rsidRPr="00C501F7">
      <w:rPr>
        <w:rStyle w:val="Numrodepage"/>
        <w:color w:val="00B6DD"/>
        <w:sz w:val="16"/>
        <w:szCs w:val="16"/>
      </w:rPr>
      <w:fldChar w:fldCharType="separate"/>
    </w:r>
    <w:r w:rsidR="00E855C3">
      <w:rPr>
        <w:rStyle w:val="Numrodepage"/>
        <w:noProof/>
        <w:color w:val="00B6DD"/>
        <w:sz w:val="16"/>
        <w:szCs w:val="16"/>
      </w:rPr>
      <w:t>2</w:t>
    </w:r>
    <w:r w:rsidRPr="00C501F7">
      <w:rPr>
        <w:rStyle w:val="Numrodepage"/>
        <w:color w:val="00B6DD"/>
        <w:sz w:val="16"/>
        <w:szCs w:val="16"/>
      </w:rPr>
      <w:fldChar w:fldCharType="end"/>
    </w:r>
  </w:p>
  <w:p w14:paraId="7BC4DCE5" w14:textId="78D2E9BE" w:rsidR="007435C7" w:rsidRPr="00C501F7" w:rsidRDefault="007435C7" w:rsidP="00851692">
    <w:pPr>
      <w:pStyle w:val="Pieddepage"/>
      <w:ind w:right="360" w:firstLine="360"/>
      <w:rPr>
        <w:color w:val="00B6DD"/>
        <w:sz w:val="16"/>
        <w:szCs w:val="16"/>
      </w:rPr>
    </w:pPr>
    <w:r w:rsidRPr="00C501F7">
      <w:rPr>
        <w:noProof/>
        <w:color w:val="00B6DD"/>
        <w:sz w:val="16"/>
        <w:szCs w:val="16"/>
      </w:rPr>
      <mc:AlternateContent>
        <mc:Choice Requires="wps">
          <w:drawing>
            <wp:anchor distT="0" distB="0" distL="114300" distR="114300" simplePos="0" relativeHeight="251658240" behindDoc="0" locked="0" layoutInCell="1" allowOverlap="1" wp14:anchorId="71B0E7FE" wp14:editId="5CF4A0C2">
              <wp:simplePos x="0" y="0"/>
              <wp:positionH relativeFrom="column">
                <wp:posOffset>-685800</wp:posOffset>
              </wp:positionH>
              <wp:positionV relativeFrom="paragraph">
                <wp:posOffset>-76200</wp:posOffset>
              </wp:positionV>
              <wp:extent cx="7200900" cy="0"/>
              <wp:effectExtent l="0" t="0" r="12700" b="25400"/>
              <wp:wrapNone/>
              <wp:docPr id="18" name="Connecteur droit 18"/>
              <wp:cNvGraphicFramePr/>
              <a:graphic xmlns:a="http://schemas.openxmlformats.org/drawingml/2006/main">
                <a:graphicData uri="http://schemas.microsoft.com/office/word/2010/wordprocessingShape">
                  <wps:wsp>
                    <wps:cNvCnPr/>
                    <wps:spPr>
                      <a:xfrm>
                        <a:off x="0" y="0"/>
                        <a:ext cx="7200900" cy="0"/>
                      </a:xfrm>
                      <a:prstGeom prst="line">
                        <a:avLst/>
                      </a:prstGeom>
                      <a:ln w="3175" cmpd="sng">
                        <a:solidFill>
                          <a:srgbClr val="00A8C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3060616" id="Connecteur droit 1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6pt" to="5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" strokecolor="#00a8c1" strokeweight=".25pt"/>
          </w:pict>
        </mc:Fallback>
      </mc:AlternateContent>
    </w:r>
    <w:r w:rsidR="00C23FBA">
      <w:rPr>
        <w:color w:val="00B6DD"/>
        <w:sz w:val="16"/>
        <w:szCs w:val="16"/>
      </w:rPr>
      <w:t xml:space="preserve">Version du </w:t>
    </w:r>
    <w:r w:rsidR="000921FD">
      <w:rPr>
        <w:color w:val="00B6DD"/>
        <w:sz w:val="16"/>
        <w:szCs w:val="16"/>
      </w:rPr>
      <w:t>14 décembre</w:t>
    </w:r>
    <w:r w:rsidR="00C23FBA">
      <w:rPr>
        <w:color w:val="00B6DD"/>
        <w:sz w:val="16"/>
        <w:szCs w:val="16"/>
      </w:rPr>
      <w:t xml:space="preserve">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B7F74" w14:textId="4C3F21D6" w:rsidR="007435C7" w:rsidRPr="00C501F7" w:rsidRDefault="007435C7" w:rsidP="00B6470E">
    <w:pPr>
      <w:pStyle w:val="Pieddepage"/>
      <w:framePr w:wrap="around" w:vAnchor="text" w:hAnchor="margin" w:xAlign="inside" w:y="1"/>
      <w:rPr>
        <w:rStyle w:val="Numrodepage"/>
        <w:color w:val="00B6DD"/>
        <w:sz w:val="16"/>
        <w:szCs w:val="16"/>
      </w:rPr>
    </w:pPr>
    <w:r w:rsidRPr="00C501F7">
      <w:rPr>
        <w:rStyle w:val="Numrodepage"/>
        <w:color w:val="00B6DD"/>
        <w:sz w:val="16"/>
        <w:szCs w:val="16"/>
      </w:rPr>
      <w:fldChar w:fldCharType="begin"/>
    </w:r>
    <w:r w:rsidRPr="00C501F7">
      <w:rPr>
        <w:rStyle w:val="Numrodepage"/>
        <w:color w:val="00B6DD"/>
        <w:sz w:val="16"/>
        <w:szCs w:val="16"/>
      </w:rPr>
      <w:instrText xml:space="preserve">PAGE  </w:instrText>
    </w:r>
    <w:r w:rsidRPr="00C501F7">
      <w:rPr>
        <w:rStyle w:val="Numrodepage"/>
        <w:color w:val="00B6DD"/>
        <w:sz w:val="16"/>
        <w:szCs w:val="16"/>
      </w:rPr>
      <w:fldChar w:fldCharType="separate"/>
    </w:r>
    <w:r w:rsidR="006D6EB7">
      <w:rPr>
        <w:rStyle w:val="Numrodepage"/>
        <w:noProof/>
        <w:color w:val="00B6DD"/>
        <w:sz w:val="16"/>
        <w:szCs w:val="16"/>
      </w:rPr>
      <w:t>3</w:t>
    </w:r>
    <w:r w:rsidRPr="00C501F7">
      <w:rPr>
        <w:rStyle w:val="Numrodepage"/>
        <w:color w:val="00B6DD"/>
        <w:sz w:val="16"/>
        <w:szCs w:val="16"/>
      </w:rPr>
      <w:fldChar w:fldCharType="end"/>
    </w:r>
  </w:p>
  <w:p w14:paraId="5C52A329" w14:textId="51F2F72C" w:rsidR="007435C7" w:rsidRPr="00C501F7" w:rsidRDefault="007435C7" w:rsidP="000B3FBC">
    <w:pPr>
      <w:ind w:right="360" w:firstLine="360"/>
      <w:jc w:val="right"/>
      <w:rPr>
        <w:color w:val="00B6DD"/>
        <w:sz w:val="16"/>
        <w:szCs w:val="16"/>
      </w:rPr>
    </w:pPr>
    <w:r w:rsidRPr="00C501F7">
      <w:rPr>
        <w:noProof/>
        <w:color w:val="00B6DD"/>
        <w:sz w:val="16"/>
        <w:szCs w:val="16"/>
      </w:rPr>
      <mc:AlternateContent>
        <mc:Choice Requires="wps">
          <w:drawing>
            <wp:anchor distT="0" distB="0" distL="114300" distR="114300" simplePos="0" relativeHeight="251666432" behindDoc="0" locked="0" layoutInCell="1" allowOverlap="1" wp14:anchorId="03BF34EC" wp14:editId="1D50D665">
              <wp:simplePos x="0" y="0"/>
              <wp:positionH relativeFrom="column">
                <wp:posOffset>-685800</wp:posOffset>
              </wp:positionH>
              <wp:positionV relativeFrom="paragraph">
                <wp:posOffset>-76200</wp:posOffset>
              </wp:positionV>
              <wp:extent cx="7200900" cy="0"/>
              <wp:effectExtent l="0" t="0" r="12700" b="25400"/>
              <wp:wrapNone/>
              <wp:docPr id="19" name="Connecteur droit 19"/>
              <wp:cNvGraphicFramePr/>
              <a:graphic xmlns:a="http://schemas.openxmlformats.org/drawingml/2006/main">
                <a:graphicData uri="http://schemas.microsoft.com/office/word/2010/wordprocessingShape">
                  <wps:wsp>
                    <wps:cNvCnPr/>
                    <wps:spPr>
                      <a:xfrm>
                        <a:off x="0" y="0"/>
                        <a:ext cx="7200900" cy="0"/>
                      </a:xfrm>
                      <a:prstGeom prst="line">
                        <a:avLst/>
                      </a:prstGeom>
                      <a:ln w="3175" cmpd="sng">
                        <a:solidFill>
                          <a:srgbClr val="00A8C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DBCD842" id="Connecteur droit 1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6pt" to="5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" strokecolor="#00a8c1" strokeweight=".25pt"/>
          </w:pict>
        </mc:Fallback>
      </mc:AlternateContent>
    </w:r>
    <w:r w:rsidR="00C23FBA">
      <w:rPr>
        <w:color w:val="00B6DD"/>
        <w:sz w:val="16"/>
        <w:szCs w:val="16"/>
      </w:rPr>
      <w:t xml:space="preserve">Version du </w:t>
    </w:r>
    <w:r w:rsidR="000921FD">
      <w:rPr>
        <w:color w:val="00B6DD"/>
        <w:sz w:val="16"/>
        <w:szCs w:val="16"/>
      </w:rPr>
      <w:t>14 décembre</w:t>
    </w:r>
    <w:r w:rsidR="00C23FBA">
      <w:rPr>
        <w:color w:val="00B6DD"/>
        <w:sz w:val="16"/>
        <w:szCs w:val="16"/>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40E5B" w14:textId="77777777" w:rsidR="002C2A7A" w:rsidRDefault="002C2A7A" w:rsidP="009B68BC">
      <w:r>
        <w:separator/>
      </w:r>
    </w:p>
  </w:footnote>
  <w:footnote w:type="continuationSeparator" w:id="0">
    <w:p w14:paraId="0B6009A9" w14:textId="77777777" w:rsidR="002C2A7A" w:rsidRDefault="002C2A7A" w:rsidP="009B68BC">
      <w:r>
        <w:continuationSeparator/>
      </w:r>
    </w:p>
  </w:footnote>
  <w:footnote w:id="1">
    <w:p w14:paraId="25D4F027" w14:textId="77777777" w:rsidR="00C838AC" w:rsidRDefault="00C838AC" w:rsidP="00C838AC">
      <w:pPr>
        <w:pStyle w:val="Notedebasdepage"/>
      </w:pPr>
      <w:r>
        <w:rPr>
          <w:rStyle w:val="Appelnotedebasdep"/>
        </w:rPr>
        <w:footnoteRef/>
      </w:r>
      <w:r>
        <w:t xml:space="preserve"> DICI : document d’information clé pour l’investisseur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AEC0" w14:textId="7700BF0A" w:rsidR="007435C7" w:rsidRDefault="007435C7" w:rsidP="005902FC">
    <w:pPr>
      <w:pStyle w:val="En-tte"/>
      <w:ind w:firstLine="0"/>
    </w:pPr>
    <w:r>
      <w:rPr>
        <w:noProof/>
      </w:rPr>
      <mc:AlternateContent>
        <mc:Choice Requires="wps">
          <w:drawing>
            <wp:anchor distT="0" distB="0" distL="114300" distR="114300" simplePos="0" relativeHeight="251661312" behindDoc="0" locked="0" layoutInCell="1" allowOverlap="1" wp14:anchorId="72ADE83A" wp14:editId="5C0AC707">
              <wp:simplePos x="0" y="0"/>
              <wp:positionH relativeFrom="page">
                <wp:posOffset>2386426</wp:posOffset>
              </wp:positionH>
              <wp:positionV relativeFrom="paragraph">
                <wp:posOffset>-234379</wp:posOffset>
              </wp:positionV>
              <wp:extent cx="5156254" cy="699384"/>
              <wp:effectExtent l="0" t="0" r="25400" b="24765"/>
              <wp:wrapNone/>
              <wp:docPr id="16" name="Rectangle 16"/>
              <wp:cNvGraphicFramePr/>
              <a:graphic xmlns:a="http://schemas.openxmlformats.org/drawingml/2006/main">
                <a:graphicData uri="http://schemas.microsoft.com/office/word/2010/wordprocessingShape">
                  <wps:wsp>
                    <wps:cNvSpPr/>
                    <wps:spPr>
                      <a:xfrm>
                        <a:off x="0" y="0"/>
                        <a:ext cx="5156254" cy="699384"/>
                      </a:xfrm>
                      <a:prstGeom prst="rect">
                        <a:avLst/>
                      </a:prstGeom>
                      <a:solidFill>
                        <a:srgbClr val="00A8C0"/>
                      </a:solidFill>
                      <a:effectLst/>
                    </wps:spPr>
                    <wps:style>
                      <a:lnRef idx="1">
                        <a:schemeClr val="accent1"/>
                      </a:lnRef>
                      <a:fillRef idx="3">
                        <a:schemeClr val="accent1"/>
                      </a:fillRef>
                      <a:effectRef idx="2">
                        <a:schemeClr val="accent1"/>
                      </a:effectRef>
                      <a:fontRef idx="minor">
                        <a:schemeClr val="lt1"/>
                      </a:fontRef>
                    </wps:style>
                    <wps:txbx>
                      <w:txbxContent>
                        <w:p w14:paraId="34FBE2FB" w14:textId="486C116A" w:rsidR="007435C7" w:rsidRPr="002F5255" w:rsidRDefault="002F5255" w:rsidP="004C6F41">
                          <w:pPr>
                            <w:pStyle w:val="Sansinterligne"/>
                            <w:ind w:left="-1134"/>
                            <w:jc w:val="right"/>
                            <w:rPr>
                              <w:sz w:val="28"/>
                            </w:rPr>
                          </w:pPr>
                          <w:r w:rsidRPr="002F5255">
                            <w:rPr>
                              <w:sz w:val="28"/>
                            </w:rPr>
                            <w:t>Note d’ORIENTATION SUR LES PLACEMENTS FINANCIERS ENVISAGEABLES PAR LES ogec</w:t>
                          </w:r>
                        </w:p>
                      </w:txbxContent>
                    </wps:txbx>
                    <wps:bodyPr rot="0" spcFirstLastPara="0" vertOverflow="overflow" horzOverflow="overflow" vert="horz" wrap="square" lIns="576000" tIns="0" rIns="91440" bIns="82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DE83A" id="Rectangle 16" o:spid="_x0000_s1029" style="position:absolute;margin-left:187.9pt;margin-top:-18.45pt;width:406pt;height:55.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" fillcolor="#00a8c0" strokecolor="#4579b8 [3044]">
              <v:textbox inset="16mm,0,,2.3mm">
                <w:txbxContent>
                  <w:p w14:paraId="34FBE2FB" w14:textId="486C116A" w:rsidR="007435C7" w:rsidRPr="002F5255" w:rsidRDefault="002F5255" w:rsidP="004C6F41">
                    <w:pPr>
                      <w:pStyle w:val="Sansinterligne"/>
                      <w:ind w:left="-1134"/>
                      <w:jc w:val="right"/>
                      <w:rPr>
                        <w:sz w:val="28"/>
                      </w:rPr>
                    </w:pPr>
                    <w:r w:rsidRPr="002F5255">
                      <w:rPr>
                        <w:sz w:val="28"/>
                      </w:rPr>
                      <w:t>Note d’ORIENTATION SUR LES PLACEMENTS FINANCIERS ENVISAGEABLES PAR LES ogec</w:t>
                    </w:r>
                  </w:p>
                </w:txbxContent>
              </v:textbox>
              <w10:wrap anchorx="page"/>
            </v:rect>
          </w:pict>
        </mc:Fallback>
      </mc:AlternateContent>
    </w:r>
    <w:r>
      <w:rPr>
        <w:noProof/>
      </w:rPr>
      <mc:AlternateContent>
        <mc:Choice Requires="wps">
          <w:drawing>
            <wp:anchor distT="0" distB="0" distL="114300" distR="114300" simplePos="0" relativeHeight="251660288" behindDoc="0" locked="0" layoutInCell="1" allowOverlap="1" wp14:anchorId="4C2FC752" wp14:editId="11C7CA2B">
              <wp:simplePos x="0" y="0"/>
              <wp:positionH relativeFrom="page">
                <wp:posOffset>904240</wp:posOffset>
              </wp:positionH>
              <wp:positionV relativeFrom="page">
                <wp:posOffset>373380</wp:posOffset>
              </wp:positionV>
              <wp:extent cx="400050" cy="286385"/>
              <wp:effectExtent l="2540" t="5080" r="381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638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C59B363" w14:textId="279AB7D0" w:rsidR="007435C7" w:rsidRDefault="007435C7">
                          <w:pPr>
                            <w:snapToGrid w:val="0"/>
                            <w:rPr>
                              <w:b/>
                              <w:color w:val="FFFFFF" w:themeColor="background1"/>
                            </w:rPr>
                          </w:pPr>
                          <w:r>
                            <w:rPr>
                              <w:rFonts w:asciiTheme="minorHAnsi" w:hAnsiTheme="minorHAnsi"/>
                            </w:rPr>
                            <w:fldChar w:fldCharType="begin"/>
                          </w:r>
                          <w:r>
                            <w:instrText>PAGE   \* MERGEFORMAT</w:instrText>
                          </w:r>
                          <w:r>
                            <w:rPr>
                              <w:rFonts w:asciiTheme="minorHAnsi" w:hAnsiTheme="minorHAnsi"/>
                            </w:rPr>
                            <w:fldChar w:fldCharType="separate"/>
                          </w:r>
                          <w:r w:rsidR="00E855C3" w:rsidRPr="00E855C3">
                            <w:rPr>
                              <w:b/>
                              <w:noProof/>
                              <w:color w:val="FFFFFF" w:themeColor="background1"/>
                            </w:rPr>
                            <w:t>2</w:t>
                          </w:r>
                          <w:r>
                            <w:rPr>
                              <w:b/>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FC752" id="_x0000_t202" coordsize="21600,21600" o:spt="202" path="m,l,21600r21600,l21600,xe">
              <v:stroke joinstyle="miter"/>
              <v:path gradientshapeok="t" o:connecttype="rect"/>
            </v:shapetype>
            <v:shape id="Text Box 15" o:spid="_x0000_s1030" type="#_x0000_t202" style="position:absolute;margin-left:71.2pt;margin-top:29.4pt;width:31.5pt;height:2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" filled="f" stroked="f">
              <v:textbox>
                <w:txbxContent>
                  <w:p w14:paraId="4C59B363" w14:textId="279AB7D0" w:rsidR="007435C7" w:rsidRDefault="007435C7">
                    <w:pPr>
                      <w:snapToGrid w:val="0"/>
                      <w:rPr>
                        <w:b/>
                        <w:color w:val="FFFFFF" w:themeColor="background1"/>
                      </w:rPr>
                    </w:pPr>
                    <w:r>
                      <w:rPr>
                        <w:rFonts w:asciiTheme="minorHAnsi" w:hAnsiTheme="minorHAnsi"/>
                      </w:rPr>
                      <w:fldChar w:fldCharType="begin"/>
                    </w:r>
                    <w:r>
                      <w:instrText>PAGE   \* MERGEFORMAT</w:instrText>
                    </w:r>
                    <w:r>
                      <w:rPr>
                        <w:rFonts w:asciiTheme="minorHAnsi" w:hAnsiTheme="minorHAnsi"/>
                      </w:rPr>
                      <w:fldChar w:fldCharType="separate"/>
                    </w:r>
                    <w:r w:rsidR="00E855C3" w:rsidRPr="00E855C3">
                      <w:rPr>
                        <w:b/>
                        <w:noProof/>
                        <w:color w:val="FFFFFF" w:themeColor="background1"/>
                      </w:rPr>
                      <w:t>2</w:t>
                    </w:r>
                    <w:r>
                      <w:rPr>
                        <w:b/>
                        <w:noProof/>
                        <w:color w:val="FFFFFF" w:themeColor="background1"/>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7558" w14:textId="55369F7F" w:rsidR="007435C7" w:rsidRPr="00EC2433" w:rsidRDefault="007435C7" w:rsidP="00EC2433">
    <w:pPr>
      <w:pStyle w:val="En-tte"/>
    </w:pPr>
    <w:r>
      <w:rPr>
        <w:noProof/>
      </w:rPr>
      <mc:AlternateContent>
        <mc:Choice Requires="wps">
          <w:drawing>
            <wp:anchor distT="0" distB="0" distL="114300" distR="114300" simplePos="0" relativeHeight="251663360" behindDoc="0" locked="0" layoutInCell="1" allowOverlap="1" wp14:anchorId="2B91AB1F" wp14:editId="581E925A">
              <wp:simplePos x="0" y="0"/>
              <wp:positionH relativeFrom="column">
                <wp:posOffset>-915799</wp:posOffset>
              </wp:positionH>
              <wp:positionV relativeFrom="paragraph">
                <wp:posOffset>-350323</wp:posOffset>
              </wp:positionV>
              <wp:extent cx="5236669" cy="799140"/>
              <wp:effectExtent l="0" t="0" r="2540" b="1270"/>
              <wp:wrapNone/>
              <wp:docPr id="17" name="Rectangle 17"/>
              <wp:cNvGraphicFramePr/>
              <a:graphic xmlns:a="http://schemas.openxmlformats.org/drawingml/2006/main">
                <a:graphicData uri="http://schemas.microsoft.com/office/word/2010/wordprocessingShape">
                  <wps:wsp>
                    <wps:cNvSpPr/>
                    <wps:spPr>
                      <a:xfrm>
                        <a:off x="0" y="0"/>
                        <a:ext cx="5236669" cy="799140"/>
                      </a:xfrm>
                      <a:prstGeom prst="rect">
                        <a:avLst/>
                      </a:prstGeom>
                      <a:solidFill>
                        <a:srgbClr val="00A8C0"/>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371D27" w14:textId="77777777" w:rsidR="00D82000" w:rsidRPr="002F5255" w:rsidRDefault="00D82000" w:rsidP="006A7633">
                          <w:pPr>
                            <w:pStyle w:val="Sansinterligne"/>
                            <w:ind w:left="-142"/>
                            <w:jc w:val="right"/>
                            <w:rPr>
                              <w:sz w:val="28"/>
                            </w:rPr>
                          </w:pPr>
                          <w:r w:rsidRPr="002F5255">
                            <w:rPr>
                              <w:sz w:val="28"/>
                            </w:rPr>
                            <w:t>Note d’ORIENTATION SUR LES PLACEMENTS FINANCIERS ENVISAGEABLES PAR LES ogec</w:t>
                          </w:r>
                        </w:p>
                      </w:txbxContent>
                    </wps:txbx>
                    <wps:bodyPr rot="0" spcFirstLastPara="0" vertOverflow="overflow" horzOverflow="overflow" vert="horz" wrap="square" lIns="108000" tIns="0" rIns="252000" bIns="82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1AB1F" id="Rectangle 17" o:spid="_x0000_s1031" style="position:absolute;left:0;text-align:left;margin-left:-72.1pt;margin-top:-27.6pt;width:412.35pt;height:6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" fillcolor="#00a8c0" stroked="f">
              <v:textbox inset="3mm,0,7mm,2.3mm">
                <w:txbxContent>
                  <w:p w14:paraId="7D371D27" w14:textId="77777777" w:rsidR="00D82000" w:rsidRPr="002F5255" w:rsidRDefault="00D82000" w:rsidP="006A7633">
                    <w:pPr>
                      <w:pStyle w:val="Sansinterligne"/>
                      <w:ind w:left="-142"/>
                      <w:jc w:val="right"/>
                      <w:rPr>
                        <w:sz w:val="28"/>
                      </w:rPr>
                    </w:pPr>
                    <w:r w:rsidRPr="002F5255">
                      <w:rPr>
                        <w:sz w:val="28"/>
                      </w:rPr>
                      <w:t>Note d’ORIENTATION SUR LES PLACEMENTS FINANCIERS ENVISAGEABLES PAR LES ogec</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FF848" w14:textId="1E4A9503" w:rsidR="007435C7" w:rsidRDefault="007435C7" w:rsidP="005902FC">
    <w:pPr>
      <w:pStyle w:val="En-tt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090C"/>
    <w:multiLevelType w:val="singleLevel"/>
    <w:tmpl w:val="66508F82"/>
    <w:lvl w:ilvl="0">
      <w:numFmt w:val="none"/>
      <w:lvlText w:val=""/>
      <w:lvlJc w:val="left"/>
      <w:pPr>
        <w:tabs>
          <w:tab w:val="num" w:pos="360"/>
        </w:tabs>
      </w:pPr>
    </w:lvl>
  </w:abstractNum>
  <w:abstractNum w:abstractNumId="1" w15:restartNumberingAfterBreak="0">
    <w:nsid w:val="019E44F8"/>
    <w:multiLevelType w:val="hybridMultilevel"/>
    <w:tmpl w:val="5C78E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F70E50"/>
    <w:multiLevelType w:val="multilevel"/>
    <w:tmpl w:val="7CE28096"/>
    <w:lvl w:ilvl="0">
      <w:start w:val="1"/>
      <w:numFmt w:val="bullet"/>
      <w:lvlText w:val=""/>
      <w:lvlJc w:val="left"/>
      <w:pPr>
        <w:ind w:left="1440" w:hanging="360"/>
      </w:pPr>
      <w:rPr>
        <w:rFonts w:ascii="Wingdings" w:hAnsi="Wingdings" w:hint="default"/>
      </w:rPr>
    </w:lvl>
    <w:lvl w:ilvl="1">
      <w:numFmt w:val="bullet"/>
      <w:lvlText w:val="✔"/>
      <w:lvlJc w:val="left"/>
      <w:pPr>
        <w:ind w:left="1800" w:hanging="360"/>
      </w:pPr>
      <w:rPr>
        <w:rFonts w:ascii="StarSymbol" w:eastAsia="OpenSymbol" w:hAnsi="StarSymbol" w:cs="OpenSymbol"/>
      </w:rPr>
    </w:lvl>
    <w:lvl w:ilvl="2">
      <w:numFmt w:val="bullet"/>
      <w:lvlText w:val="✔"/>
      <w:lvlJc w:val="left"/>
      <w:pPr>
        <w:ind w:left="2160" w:hanging="360"/>
      </w:pPr>
      <w:rPr>
        <w:rFonts w:ascii="StarSymbol" w:eastAsia="OpenSymbol" w:hAnsi="StarSymbol" w:cs="OpenSymbol"/>
      </w:rPr>
    </w:lvl>
    <w:lvl w:ilvl="3">
      <w:numFmt w:val="bullet"/>
      <w:lvlText w:val="✔"/>
      <w:lvlJc w:val="left"/>
      <w:pPr>
        <w:ind w:left="2520" w:hanging="360"/>
      </w:pPr>
      <w:rPr>
        <w:rFonts w:ascii="StarSymbol" w:eastAsia="OpenSymbol" w:hAnsi="StarSymbol" w:cs="OpenSymbol"/>
      </w:rPr>
    </w:lvl>
    <w:lvl w:ilvl="4">
      <w:numFmt w:val="bullet"/>
      <w:lvlText w:val="✔"/>
      <w:lvlJc w:val="left"/>
      <w:pPr>
        <w:ind w:left="2880" w:hanging="360"/>
      </w:pPr>
      <w:rPr>
        <w:rFonts w:ascii="StarSymbol" w:eastAsia="OpenSymbol" w:hAnsi="StarSymbol" w:cs="OpenSymbol"/>
      </w:rPr>
    </w:lvl>
    <w:lvl w:ilvl="5">
      <w:numFmt w:val="bullet"/>
      <w:lvlText w:val="✔"/>
      <w:lvlJc w:val="left"/>
      <w:pPr>
        <w:ind w:left="3240" w:hanging="360"/>
      </w:pPr>
      <w:rPr>
        <w:rFonts w:ascii="StarSymbol" w:eastAsia="OpenSymbol" w:hAnsi="StarSymbol" w:cs="OpenSymbol"/>
      </w:rPr>
    </w:lvl>
    <w:lvl w:ilvl="6">
      <w:numFmt w:val="bullet"/>
      <w:lvlText w:val="✔"/>
      <w:lvlJc w:val="left"/>
      <w:pPr>
        <w:ind w:left="3600" w:hanging="360"/>
      </w:pPr>
      <w:rPr>
        <w:rFonts w:ascii="StarSymbol" w:eastAsia="OpenSymbol" w:hAnsi="StarSymbol" w:cs="OpenSymbol"/>
      </w:rPr>
    </w:lvl>
    <w:lvl w:ilvl="7">
      <w:numFmt w:val="bullet"/>
      <w:lvlText w:val="✔"/>
      <w:lvlJc w:val="left"/>
      <w:pPr>
        <w:ind w:left="3960" w:hanging="360"/>
      </w:pPr>
      <w:rPr>
        <w:rFonts w:ascii="StarSymbol" w:eastAsia="OpenSymbol" w:hAnsi="StarSymbol" w:cs="OpenSymbol"/>
      </w:rPr>
    </w:lvl>
    <w:lvl w:ilvl="8">
      <w:numFmt w:val="bullet"/>
      <w:lvlText w:val="✔"/>
      <w:lvlJc w:val="left"/>
      <w:pPr>
        <w:ind w:left="4320" w:hanging="360"/>
      </w:pPr>
      <w:rPr>
        <w:rFonts w:ascii="StarSymbol" w:eastAsia="OpenSymbol" w:hAnsi="StarSymbol" w:cs="OpenSymbol"/>
      </w:rPr>
    </w:lvl>
  </w:abstractNum>
  <w:abstractNum w:abstractNumId="3" w15:restartNumberingAfterBreak="0">
    <w:nsid w:val="03284DA8"/>
    <w:multiLevelType w:val="hybridMultilevel"/>
    <w:tmpl w:val="C82E3268"/>
    <w:lvl w:ilvl="0" w:tplc="22EAF2AA">
      <w:start w:val="1"/>
      <w:numFmt w:val="bullet"/>
      <w:pStyle w:val="Titre3"/>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4CA6D6B"/>
    <w:multiLevelType w:val="multilevel"/>
    <w:tmpl w:val="FAD2FCB0"/>
    <w:lvl w:ilvl="0">
      <w:start w:val="1"/>
      <w:numFmt w:val="bullet"/>
      <w:lvlText w:val=""/>
      <w:lvlJc w:val="left"/>
      <w:pPr>
        <w:ind w:left="1440" w:hanging="360"/>
      </w:pPr>
      <w:rPr>
        <w:rFonts w:ascii="Wingdings" w:hAnsi="Wingdings" w:hint="default"/>
      </w:rPr>
    </w:lvl>
    <w:lvl w:ilvl="1">
      <w:numFmt w:val="bullet"/>
      <w:lvlText w:val="➢"/>
      <w:lvlJc w:val="left"/>
      <w:pPr>
        <w:ind w:left="1800" w:hanging="360"/>
      </w:pPr>
      <w:rPr>
        <w:rFonts w:ascii="StarSymbol" w:eastAsia="OpenSymbol" w:hAnsi="StarSymbol" w:cs="OpenSymbol"/>
      </w:rPr>
    </w:lvl>
    <w:lvl w:ilvl="2">
      <w:numFmt w:val="bullet"/>
      <w:lvlText w:val="➢"/>
      <w:lvlJc w:val="left"/>
      <w:pPr>
        <w:ind w:left="2160" w:hanging="360"/>
      </w:pPr>
      <w:rPr>
        <w:rFonts w:ascii="StarSymbol" w:eastAsia="OpenSymbol" w:hAnsi="StarSymbol" w:cs="OpenSymbol"/>
      </w:rPr>
    </w:lvl>
    <w:lvl w:ilvl="3">
      <w:numFmt w:val="bullet"/>
      <w:lvlText w:val="➢"/>
      <w:lvlJc w:val="left"/>
      <w:pPr>
        <w:ind w:left="2520" w:hanging="360"/>
      </w:pPr>
      <w:rPr>
        <w:rFonts w:ascii="StarSymbol" w:eastAsia="OpenSymbol" w:hAnsi="StarSymbol" w:cs="OpenSymbol"/>
      </w:rPr>
    </w:lvl>
    <w:lvl w:ilvl="4">
      <w:numFmt w:val="bullet"/>
      <w:lvlText w:val="➢"/>
      <w:lvlJc w:val="left"/>
      <w:pPr>
        <w:ind w:left="2880" w:hanging="360"/>
      </w:pPr>
      <w:rPr>
        <w:rFonts w:ascii="StarSymbol" w:eastAsia="OpenSymbol" w:hAnsi="StarSymbol" w:cs="OpenSymbol"/>
      </w:rPr>
    </w:lvl>
    <w:lvl w:ilvl="5">
      <w:numFmt w:val="bullet"/>
      <w:lvlText w:val="➢"/>
      <w:lvlJc w:val="left"/>
      <w:pPr>
        <w:ind w:left="3240" w:hanging="360"/>
      </w:pPr>
      <w:rPr>
        <w:rFonts w:ascii="StarSymbol" w:eastAsia="OpenSymbol" w:hAnsi="StarSymbol" w:cs="OpenSymbol"/>
      </w:rPr>
    </w:lvl>
    <w:lvl w:ilvl="6">
      <w:numFmt w:val="bullet"/>
      <w:lvlText w:val="➢"/>
      <w:lvlJc w:val="left"/>
      <w:pPr>
        <w:ind w:left="3600" w:hanging="360"/>
      </w:pPr>
      <w:rPr>
        <w:rFonts w:ascii="StarSymbol" w:eastAsia="OpenSymbol" w:hAnsi="StarSymbol" w:cs="OpenSymbol"/>
      </w:rPr>
    </w:lvl>
    <w:lvl w:ilvl="7">
      <w:numFmt w:val="bullet"/>
      <w:lvlText w:val="➢"/>
      <w:lvlJc w:val="left"/>
      <w:pPr>
        <w:ind w:left="3960" w:hanging="360"/>
      </w:pPr>
      <w:rPr>
        <w:rFonts w:ascii="StarSymbol" w:eastAsia="OpenSymbol" w:hAnsi="StarSymbol" w:cs="OpenSymbol"/>
      </w:rPr>
    </w:lvl>
    <w:lvl w:ilvl="8">
      <w:numFmt w:val="bullet"/>
      <w:lvlText w:val="➢"/>
      <w:lvlJc w:val="left"/>
      <w:pPr>
        <w:ind w:left="4320" w:hanging="360"/>
      </w:pPr>
      <w:rPr>
        <w:rFonts w:ascii="StarSymbol" w:eastAsia="OpenSymbol" w:hAnsi="StarSymbol" w:cs="OpenSymbol"/>
      </w:rPr>
    </w:lvl>
  </w:abstractNum>
  <w:abstractNum w:abstractNumId="5" w15:restartNumberingAfterBreak="0">
    <w:nsid w:val="07711FF7"/>
    <w:multiLevelType w:val="multilevel"/>
    <w:tmpl w:val="102E392A"/>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 w15:restartNumberingAfterBreak="0">
    <w:nsid w:val="094D0EAE"/>
    <w:multiLevelType w:val="hybridMultilevel"/>
    <w:tmpl w:val="0588793C"/>
    <w:lvl w:ilvl="0" w:tplc="55ECD444">
      <w:start w:val="1"/>
      <w:numFmt w:val="bullet"/>
      <w:pStyle w:val="Paragraphedeliste"/>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9D6D4B"/>
    <w:multiLevelType w:val="hybridMultilevel"/>
    <w:tmpl w:val="74AEDA38"/>
    <w:lvl w:ilvl="0" w:tplc="040C000F">
      <w:start w:val="1"/>
      <w:numFmt w:val="decimal"/>
      <w:lvlText w:val="%1."/>
      <w:lvlJc w:val="left"/>
      <w:pPr>
        <w:ind w:left="720" w:hanging="360"/>
      </w:pPr>
    </w:lvl>
    <w:lvl w:ilvl="1" w:tplc="3208C8EC">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E33581"/>
    <w:multiLevelType w:val="multilevel"/>
    <w:tmpl w:val="AD426078"/>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9" w15:restartNumberingAfterBreak="0">
    <w:nsid w:val="107F1037"/>
    <w:multiLevelType w:val="multilevel"/>
    <w:tmpl w:val="9DB84810"/>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0" w15:restartNumberingAfterBreak="0">
    <w:nsid w:val="10F529BA"/>
    <w:multiLevelType w:val="hybridMultilevel"/>
    <w:tmpl w:val="E9F63A0C"/>
    <w:lvl w:ilvl="0" w:tplc="5C92C6D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4046CA"/>
    <w:multiLevelType w:val="multilevel"/>
    <w:tmpl w:val="FDC0625A"/>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2" w15:restartNumberingAfterBreak="0">
    <w:nsid w:val="14B21936"/>
    <w:multiLevelType w:val="multilevel"/>
    <w:tmpl w:val="B2E23AD0"/>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A0556F"/>
    <w:multiLevelType w:val="multilevel"/>
    <w:tmpl w:val="803261A4"/>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4" w15:restartNumberingAfterBreak="0">
    <w:nsid w:val="19587382"/>
    <w:multiLevelType w:val="hybridMultilevel"/>
    <w:tmpl w:val="0E5ADAF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1B8F6497"/>
    <w:multiLevelType w:val="multilevel"/>
    <w:tmpl w:val="8CBCAA26"/>
    <w:lvl w:ilvl="0">
      <w:start w:val="1"/>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20AB732D"/>
    <w:multiLevelType w:val="multilevel"/>
    <w:tmpl w:val="A762EBE6"/>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StarSymbol" w:eastAsia="OpenSymbol" w:hAnsi="StarSymbol" w:cs="OpenSymbol"/>
      </w:rPr>
    </w:lvl>
    <w:lvl w:ilvl="2">
      <w:numFmt w:val="bullet"/>
      <w:lvlText w:val="✔"/>
      <w:lvlJc w:val="left"/>
      <w:pPr>
        <w:ind w:left="1080" w:hanging="360"/>
      </w:pPr>
      <w:rPr>
        <w:rFonts w:ascii="StarSymbol" w:eastAsia="OpenSymbol" w:hAnsi="StarSymbol" w:cs="OpenSymbol"/>
      </w:rPr>
    </w:lvl>
    <w:lvl w:ilvl="3">
      <w:numFmt w:val="bullet"/>
      <w:lvlText w:val="✔"/>
      <w:lvlJc w:val="left"/>
      <w:pPr>
        <w:ind w:left="1440" w:hanging="360"/>
      </w:pPr>
      <w:rPr>
        <w:rFonts w:ascii="StarSymbol" w:eastAsia="OpenSymbol" w:hAnsi="StarSymbol" w:cs="OpenSymbol"/>
      </w:rPr>
    </w:lvl>
    <w:lvl w:ilvl="4">
      <w:numFmt w:val="bullet"/>
      <w:lvlText w:val="✔"/>
      <w:lvlJc w:val="left"/>
      <w:pPr>
        <w:ind w:left="1800" w:hanging="360"/>
      </w:pPr>
      <w:rPr>
        <w:rFonts w:ascii="StarSymbol" w:eastAsia="OpenSymbol" w:hAnsi="StarSymbol" w:cs="OpenSymbol"/>
      </w:rPr>
    </w:lvl>
    <w:lvl w:ilvl="5">
      <w:numFmt w:val="bullet"/>
      <w:lvlText w:val="✔"/>
      <w:lvlJc w:val="left"/>
      <w:pPr>
        <w:ind w:left="2160" w:hanging="360"/>
      </w:pPr>
      <w:rPr>
        <w:rFonts w:ascii="StarSymbol" w:eastAsia="OpenSymbol" w:hAnsi="StarSymbol" w:cs="OpenSymbol"/>
      </w:rPr>
    </w:lvl>
    <w:lvl w:ilvl="6">
      <w:numFmt w:val="bullet"/>
      <w:lvlText w:val="✔"/>
      <w:lvlJc w:val="left"/>
      <w:pPr>
        <w:ind w:left="2520" w:hanging="360"/>
      </w:pPr>
      <w:rPr>
        <w:rFonts w:ascii="StarSymbol" w:eastAsia="OpenSymbol" w:hAnsi="StarSymbol" w:cs="OpenSymbol"/>
      </w:rPr>
    </w:lvl>
    <w:lvl w:ilvl="7">
      <w:numFmt w:val="bullet"/>
      <w:lvlText w:val="✔"/>
      <w:lvlJc w:val="left"/>
      <w:pPr>
        <w:ind w:left="2880" w:hanging="360"/>
      </w:pPr>
      <w:rPr>
        <w:rFonts w:ascii="StarSymbol" w:eastAsia="OpenSymbol" w:hAnsi="StarSymbol" w:cs="OpenSymbol"/>
      </w:rPr>
    </w:lvl>
    <w:lvl w:ilvl="8">
      <w:numFmt w:val="bullet"/>
      <w:lvlText w:val="✔"/>
      <w:lvlJc w:val="left"/>
      <w:pPr>
        <w:ind w:left="3240" w:hanging="360"/>
      </w:pPr>
      <w:rPr>
        <w:rFonts w:ascii="StarSymbol" w:eastAsia="OpenSymbol" w:hAnsi="StarSymbol" w:cs="OpenSymbol"/>
      </w:rPr>
    </w:lvl>
  </w:abstractNum>
  <w:abstractNum w:abstractNumId="17" w15:restartNumberingAfterBreak="0">
    <w:nsid w:val="2A3740F8"/>
    <w:multiLevelType w:val="multilevel"/>
    <w:tmpl w:val="38987832"/>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8" w15:restartNumberingAfterBreak="0">
    <w:nsid w:val="2D31725F"/>
    <w:multiLevelType w:val="multilevel"/>
    <w:tmpl w:val="F4169B9C"/>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9" w15:restartNumberingAfterBreak="0">
    <w:nsid w:val="324D6891"/>
    <w:multiLevelType w:val="multilevel"/>
    <w:tmpl w:val="7AC0A67E"/>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20" w15:restartNumberingAfterBreak="0">
    <w:nsid w:val="34961251"/>
    <w:multiLevelType w:val="hybridMultilevel"/>
    <w:tmpl w:val="A7BA0D94"/>
    <w:lvl w:ilvl="0" w:tplc="A394EBD4">
      <w:start w:val="1"/>
      <w:numFmt w:val="bullet"/>
      <w:lvlText w:val=""/>
      <w:lvlJc w:val="left"/>
      <w:pPr>
        <w:ind w:left="360" w:hanging="360"/>
      </w:pPr>
      <w:rPr>
        <w:rFonts w:ascii="Wingdings" w:eastAsia="Times New Roman"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3889245F"/>
    <w:multiLevelType w:val="multilevel"/>
    <w:tmpl w:val="862CAF5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2B3346"/>
    <w:multiLevelType w:val="hybridMultilevel"/>
    <w:tmpl w:val="87401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574A0F"/>
    <w:multiLevelType w:val="multilevel"/>
    <w:tmpl w:val="D3C6FCCA"/>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24" w15:restartNumberingAfterBreak="0">
    <w:nsid w:val="3D2C792C"/>
    <w:multiLevelType w:val="multilevel"/>
    <w:tmpl w:val="9DBCB526"/>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25" w15:restartNumberingAfterBreak="0">
    <w:nsid w:val="3DBB66B8"/>
    <w:multiLevelType w:val="multilevel"/>
    <w:tmpl w:val="00C29426"/>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 w15:restartNumberingAfterBreak="0">
    <w:nsid w:val="3F32185E"/>
    <w:multiLevelType w:val="hybridMultilevel"/>
    <w:tmpl w:val="0428E1C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51741023"/>
    <w:multiLevelType w:val="hybridMultilevel"/>
    <w:tmpl w:val="A3A0B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C4489F"/>
    <w:multiLevelType w:val="multilevel"/>
    <w:tmpl w:val="68146452"/>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29" w15:restartNumberingAfterBreak="0">
    <w:nsid w:val="53E53BFF"/>
    <w:multiLevelType w:val="multilevel"/>
    <w:tmpl w:val="BED6A7AE"/>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0" w15:restartNumberingAfterBreak="0">
    <w:nsid w:val="54DE20A9"/>
    <w:multiLevelType w:val="hybridMultilevel"/>
    <w:tmpl w:val="968E379E"/>
    <w:lvl w:ilvl="0" w:tplc="354C2B46">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EA4436"/>
    <w:multiLevelType w:val="hybridMultilevel"/>
    <w:tmpl w:val="24E6F69A"/>
    <w:lvl w:ilvl="0" w:tplc="10DC16D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0B2E0E"/>
    <w:multiLevelType w:val="hybridMultilevel"/>
    <w:tmpl w:val="0D52538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32B385A"/>
    <w:multiLevelType w:val="hybridMultilevel"/>
    <w:tmpl w:val="0430295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3CB1F5E"/>
    <w:multiLevelType w:val="multilevel"/>
    <w:tmpl w:val="2FFAF5C2"/>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E91087"/>
    <w:multiLevelType w:val="multilevel"/>
    <w:tmpl w:val="602E46E6"/>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6" w15:restartNumberingAfterBreak="0">
    <w:nsid w:val="67724773"/>
    <w:multiLevelType w:val="multilevel"/>
    <w:tmpl w:val="7CDEAC9C"/>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6A2E4754"/>
    <w:multiLevelType w:val="hybridMultilevel"/>
    <w:tmpl w:val="2592C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EDE1945"/>
    <w:multiLevelType w:val="hybridMultilevel"/>
    <w:tmpl w:val="29DEAAB8"/>
    <w:lvl w:ilvl="0" w:tplc="4816D580">
      <w:start w:val="4"/>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002AF"/>
    <w:multiLevelType w:val="multilevel"/>
    <w:tmpl w:val="3F565108"/>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40" w15:restartNumberingAfterBreak="0">
    <w:nsid w:val="73FD77D5"/>
    <w:multiLevelType w:val="hybridMultilevel"/>
    <w:tmpl w:val="F6269B8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9">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B845CA"/>
    <w:multiLevelType w:val="hybridMultilevel"/>
    <w:tmpl w:val="23B66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4F6BAA"/>
    <w:multiLevelType w:val="multilevel"/>
    <w:tmpl w:val="74880C72"/>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43" w15:restartNumberingAfterBreak="0">
    <w:nsid w:val="7E986191"/>
    <w:multiLevelType w:val="multilevel"/>
    <w:tmpl w:val="6C4AF21A"/>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num w:numId="1">
    <w:abstractNumId w:val="3"/>
  </w:num>
  <w:num w:numId="2">
    <w:abstractNumId w:val="20"/>
  </w:num>
  <w:num w:numId="3">
    <w:abstractNumId w:val="30"/>
  </w:num>
  <w:num w:numId="4">
    <w:abstractNumId w:val="34"/>
  </w:num>
  <w:num w:numId="5">
    <w:abstractNumId w:val="40"/>
  </w:num>
  <w:num w:numId="6">
    <w:abstractNumId w:val="7"/>
  </w:num>
  <w:num w:numId="7">
    <w:abstractNumId w:val="21"/>
  </w:num>
  <w:num w:numId="8">
    <w:abstractNumId w:val="0"/>
  </w:num>
  <w:num w:numId="9">
    <w:abstractNumId w:val="15"/>
  </w:num>
  <w:num w:numId="10">
    <w:abstractNumId w:val="25"/>
  </w:num>
  <w:num w:numId="11">
    <w:abstractNumId w:val="32"/>
  </w:num>
  <w:num w:numId="12">
    <w:abstractNumId w:val="4"/>
  </w:num>
  <w:num w:numId="13">
    <w:abstractNumId w:val="24"/>
  </w:num>
  <w:num w:numId="14">
    <w:abstractNumId w:val="18"/>
  </w:num>
  <w:num w:numId="15">
    <w:abstractNumId w:val="12"/>
  </w:num>
  <w:num w:numId="16">
    <w:abstractNumId w:val="16"/>
  </w:num>
  <w:num w:numId="17">
    <w:abstractNumId w:val="39"/>
  </w:num>
  <w:num w:numId="18">
    <w:abstractNumId w:val="36"/>
  </w:num>
  <w:num w:numId="19">
    <w:abstractNumId w:val="43"/>
  </w:num>
  <w:num w:numId="20">
    <w:abstractNumId w:val="42"/>
  </w:num>
  <w:num w:numId="21">
    <w:abstractNumId w:val="29"/>
  </w:num>
  <w:num w:numId="22">
    <w:abstractNumId w:val="14"/>
  </w:num>
  <w:num w:numId="23">
    <w:abstractNumId w:val="35"/>
  </w:num>
  <w:num w:numId="24">
    <w:abstractNumId w:val="11"/>
  </w:num>
  <w:num w:numId="25">
    <w:abstractNumId w:val="2"/>
  </w:num>
  <w:num w:numId="26">
    <w:abstractNumId w:val="23"/>
  </w:num>
  <w:num w:numId="27">
    <w:abstractNumId w:val="28"/>
  </w:num>
  <w:num w:numId="28">
    <w:abstractNumId w:val="5"/>
  </w:num>
  <w:num w:numId="29">
    <w:abstractNumId w:val="17"/>
  </w:num>
  <w:num w:numId="30">
    <w:abstractNumId w:val="13"/>
  </w:num>
  <w:num w:numId="31">
    <w:abstractNumId w:val="9"/>
  </w:num>
  <w:num w:numId="32">
    <w:abstractNumId w:val="19"/>
  </w:num>
  <w:num w:numId="33">
    <w:abstractNumId w:val="8"/>
  </w:num>
  <w:num w:numId="34">
    <w:abstractNumId w:val="33"/>
  </w:num>
  <w:num w:numId="35">
    <w:abstractNumId w:val="38"/>
  </w:num>
  <w:num w:numId="36">
    <w:abstractNumId w:val="10"/>
  </w:num>
  <w:num w:numId="37">
    <w:abstractNumId w:val="1"/>
  </w:num>
  <w:num w:numId="38">
    <w:abstractNumId w:val="27"/>
  </w:num>
  <w:num w:numId="39">
    <w:abstractNumId w:val="31"/>
  </w:num>
  <w:num w:numId="40">
    <w:abstractNumId w:val="6"/>
  </w:num>
  <w:num w:numId="41">
    <w:abstractNumId w:val="22"/>
  </w:num>
  <w:num w:numId="42">
    <w:abstractNumId w:val="37"/>
  </w:num>
  <w:num w:numId="43">
    <w:abstractNumId w:val="41"/>
  </w:num>
  <w:num w:numId="44">
    <w:abstractNumId w:val="2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B0"/>
    <w:rsid w:val="00006737"/>
    <w:rsid w:val="00012BD6"/>
    <w:rsid w:val="00020F91"/>
    <w:rsid w:val="0003047B"/>
    <w:rsid w:val="00055B5A"/>
    <w:rsid w:val="00087F42"/>
    <w:rsid w:val="000921FD"/>
    <w:rsid w:val="000B2366"/>
    <w:rsid w:val="000B313F"/>
    <w:rsid w:val="000B3FBC"/>
    <w:rsid w:val="000B6246"/>
    <w:rsid w:val="000C7697"/>
    <w:rsid w:val="000D5C28"/>
    <w:rsid w:val="00103D4D"/>
    <w:rsid w:val="001073E2"/>
    <w:rsid w:val="00113E6A"/>
    <w:rsid w:val="00117486"/>
    <w:rsid w:val="00121F0B"/>
    <w:rsid w:val="00124877"/>
    <w:rsid w:val="00142D24"/>
    <w:rsid w:val="0016073B"/>
    <w:rsid w:val="00160CC7"/>
    <w:rsid w:val="0017679B"/>
    <w:rsid w:val="001873CD"/>
    <w:rsid w:val="00192A1D"/>
    <w:rsid w:val="001A4C8E"/>
    <w:rsid w:val="001B2F9F"/>
    <w:rsid w:val="001C2778"/>
    <w:rsid w:val="001C3658"/>
    <w:rsid w:val="001D13C9"/>
    <w:rsid w:val="00217FB5"/>
    <w:rsid w:val="00223F5F"/>
    <w:rsid w:val="00224DD9"/>
    <w:rsid w:val="0023793C"/>
    <w:rsid w:val="00240D95"/>
    <w:rsid w:val="00256285"/>
    <w:rsid w:val="00262550"/>
    <w:rsid w:val="00265A07"/>
    <w:rsid w:val="002720B3"/>
    <w:rsid w:val="00273828"/>
    <w:rsid w:val="002970B0"/>
    <w:rsid w:val="002A147D"/>
    <w:rsid w:val="002A20F9"/>
    <w:rsid w:val="002A515E"/>
    <w:rsid w:val="002B1271"/>
    <w:rsid w:val="002C2A7A"/>
    <w:rsid w:val="002D4A1E"/>
    <w:rsid w:val="002F14E3"/>
    <w:rsid w:val="002F3B6F"/>
    <w:rsid w:val="002F3E6B"/>
    <w:rsid w:val="002F4407"/>
    <w:rsid w:val="002F5255"/>
    <w:rsid w:val="002F7A06"/>
    <w:rsid w:val="003031D1"/>
    <w:rsid w:val="0030471D"/>
    <w:rsid w:val="00304AC1"/>
    <w:rsid w:val="00327834"/>
    <w:rsid w:val="003321F4"/>
    <w:rsid w:val="00343127"/>
    <w:rsid w:val="00344EA3"/>
    <w:rsid w:val="003522CE"/>
    <w:rsid w:val="00354A15"/>
    <w:rsid w:val="00387D26"/>
    <w:rsid w:val="00393869"/>
    <w:rsid w:val="003A3F95"/>
    <w:rsid w:val="003A7F79"/>
    <w:rsid w:val="003B4430"/>
    <w:rsid w:val="003B5CF7"/>
    <w:rsid w:val="003E3D1D"/>
    <w:rsid w:val="003F31DF"/>
    <w:rsid w:val="003F36B8"/>
    <w:rsid w:val="003F6F58"/>
    <w:rsid w:val="00423532"/>
    <w:rsid w:val="004238E3"/>
    <w:rsid w:val="00424865"/>
    <w:rsid w:val="0045374D"/>
    <w:rsid w:val="004552AB"/>
    <w:rsid w:val="00456B59"/>
    <w:rsid w:val="004727C8"/>
    <w:rsid w:val="00483307"/>
    <w:rsid w:val="004837EA"/>
    <w:rsid w:val="00483D98"/>
    <w:rsid w:val="004A10CF"/>
    <w:rsid w:val="004B6043"/>
    <w:rsid w:val="004C6F41"/>
    <w:rsid w:val="004D731F"/>
    <w:rsid w:val="004E0383"/>
    <w:rsid w:val="00520F88"/>
    <w:rsid w:val="005223A0"/>
    <w:rsid w:val="00534EB1"/>
    <w:rsid w:val="0055135E"/>
    <w:rsid w:val="00553651"/>
    <w:rsid w:val="0056270D"/>
    <w:rsid w:val="005902FC"/>
    <w:rsid w:val="00595E0E"/>
    <w:rsid w:val="005A2A10"/>
    <w:rsid w:val="005C7971"/>
    <w:rsid w:val="005D07EC"/>
    <w:rsid w:val="005D3EF2"/>
    <w:rsid w:val="005E3D88"/>
    <w:rsid w:val="00600A2E"/>
    <w:rsid w:val="00605159"/>
    <w:rsid w:val="00612027"/>
    <w:rsid w:val="00627BBB"/>
    <w:rsid w:val="0065204C"/>
    <w:rsid w:val="00653EFE"/>
    <w:rsid w:val="006623A0"/>
    <w:rsid w:val="00681BB7"/>
    <w:rsid w:val="00684254"/>
    <w:rsid w:val="00693CBE"/>
    <w:rsid w:val="006A7633"/>
    <w:rsid w:val="006C3384"/>
    <w:rsid w:val="006D6EB7"/>
    <w:rsid w:val="006E1400"/>
    <w:rsid w:val="006E2321"/>
    <w:rsid w:val="006F1710"/>
    <w:rsid w:val="00723344"/>
    <w:rsid w:val="00734679"/>
    <w:rsid w:val="007435C7"/>
    <w:rsid w:val="0075007A"/>
    <w:rsid w:val="007805CA"/>
    <w:rsid w:val="00782DFF"/>
    <w:rsid w:val="00792F62"/>
    <w:rsid w:val="007951D0"/>
    <w:rsid w:val="007C03DE"/>
    <w:rsid w:val="007C4944"/>
    <w:rsid w:val="007D093F"/>
    <w:rsid w:val="007E0581"/>
    <w:rsid w:val="007E2BB0"/>
    <w:rsid w:val="007E591E"/>
    <w:rsid w:val="00800241"/>
    <w:rsid w:val="00804F66"/>
    <w:rsid w:val="0080793D"/>
    <w:rsid w:val="008354C2"/>
    <w:rsid w:val="00840BF3"/>
    <w:rsid w:val="008414AC"/>
    <w:rsid w:val="00851692"/>
    <w:rsid w:val="008538C3"/>
    <w:rsid w:val="008661D7"/>
    <w:rsid w:val="008802DF"/>
    <w:rsid w:val="008B10A8"/>
    <w:rsid w:val="008C7F6F"/>
    <w:rsid w:val="008D521E"/>
    <w:rsid w:val="008F11C8"/>
    <w:rsid w:val="0090020F"/>
    <w:rsid w:val="00940242"/>
    <w:rsid w:val="00943428"/>
    <w:rsid w:val="00945E21"/>
    <w:rsid w:val="009537C7"/>
    <w:rsid w:val="009550B3"/>
    <w:rsid w:val="00992AB8"/>
    <w:rsid w:val="00995795"/>
    <w:rsid w:val="009957D2"/>
    <w:rsid w:val="009B3C31"/>
    <w:rsid w:val="009B68BC"/>
    <w:rsid w:val="009B70A2"/>
    <w:rsid w:val="009C03A0"/>
    <w:rsid w:val="009E5CFB"/>
    <w:rsid w:val="009F0AD7"/>
    <w:rsid w:val="00A070B8"/>
    <w:rsid w:val="00A31B7A"/>
    <w:rsid w:val="00A44EEB"/>
    <w:rsid w:val="00A455E3"/>
    <w:rsid w:val="00A67412"/>
    <w:rsid w:val="00A7159D"/>
    <w:rsid w:val="00A71C0C"/>
    <w:rsid w:val="00A844AD"/>
    <w:rsid w:val="00A9743A"/>
    <w:rsid w:val="00AA1DC4"/>
    <w:rsid w:val="00AA2102"/>
    <w:rsid w:val="00AA210B"/>
    <w:rsid w:val="00AA2C07"/>
    <w:rsid w:val="00AB6139"/>
    <w:rsid w:val="00AC6AC9"/>
    <w:rsid w:val="00AD1B8D"/>
    <w:rsid w:val="00AD3D04"/>
    <w:rsid w:val="00AD5E42"/>
    <w:rsid w:val="00AE2706"/>
    <w:rsid w:val="00AE410F"/>
    <w:rsid w:val="00AE6CBC"/>
    <w:rsid w:val="00B00EE9"/>
    <w:rsid w:val="00B12C91"/>
    <w:rsid w:val="00B22346"/>
    <w:rsid w:val="00B2677A"/>
    <w:rsid w:val="00B33B0C"/>
    <w:rsid w:val="00B371F9"/>
    <w:rsid w:val="00B50795"/>
    <w:rsid w:val="00B6470E"/>
    <w:rsid w:val="00B95BEB"/>
    <w:rsid w:val="00BB76C1"/>
    <w:rsid w:val="00BC024D"/>
    <w:rsid w:val="00BC4E6D"/>
    <w:rsid w:val="00BD1594"/>
    <w:rsid w:val="00BD4B81"/>
    <w:rsid w:val="00BE0DED"/>
    <w:rsid w:val="00C213C7"/>
    <w:rsid w:val="00C2363A"/>
    <w:rsid w:val="00C23FBA"/>
    <w:rsid w:val="00C3748F"/>
    <w:rsid w:val="00C4569C"/>
    <w:rsid w:val="00C501F7"/>
    <w:rsid w:val="00C54AE2"/>
    <w:rsid w:val="00C604CD"/>
    <w:rsid w:val="00C60EF8"/>
    <w:rsid w:val="00C64142"/>
    <w:rsid w:val="00C65CE6"/>
    <w:rsid w:val="00C72612"/>
    <w:rsid w:val="00C838AC"/>
    <w:rsid w:val="00C94C30"/>
    <w:rsid w:val="00C964E3"/>
    <w:rsid w:val="00CA7F2D"/>
    <w:rsid w:val="00CD37F8"/>
    <w:rsid w:val="00CE6715"/>
    <w:rsid w:val="00CE7B5D"/>
    <w:rsid w:val="00D10785"/>
    <w:rsid w:val="00D108DE"/>
    <w:rsid w:val="00D157C0"/>
    <w:rsid w:val="00D17779"/>
    <w:rsid w:val="00D24D20"/>
    <w:rsid w:val="00D2625E"/>
    <w:rsid w:val="00D34345"/>
    <w:rsid w:val="00D43114"/>
    <w:rsid w:val="00D56C26"/>
    <w:rsid w:val="00D73C94"/>
    <w:rsid w:val="00D82000"/>
    <w:rsid w:val="00D85845"/>
    <w:rsid w:val="00D8732D"/>
    <w:rsid w:val="00D92EE5"/>
    <w:rsid w:val="00DC51C3"/>
    <w:rsid w:val="00DE15FD"/>
    <w:rsid w:val="00DF45BA"/>
    <w:rsid w:val="00E06139"/>
    <w:rsid w:val="00E07AEA"/>
    <w:rsid w:val="00E1133D"/>
    <w:rsid w:val="00E133D8"/>
    <w:rsid w:val="00E13B36"/>
    <w:rsid w:val="00E21D6D"/>
    <w:rsid w:val="00E23037"/>
    <w:rsid w:val="00E23D1D"/>
    <w:rsid w:val="00E23D74"/>
    <w:rsid w:val="00E33108"/>
    <w:rsid w:val="00E46654"/>
    <w:rsid w:val="00E500D9"/>
    <w:rsid w:val="00E64D0A"/>
    <w:rsid w:val="00E7238C"/>
    <w:rsid w:val="00E855C3"/>
    <w:rsid w:val="00E93280"/>
    <w:rsid w:val="00E96BE1"/>
    <w:rsid w:val="00EA239A"/>
    <w:rsid w:val="00EA5DA2"/>
    <w:rsid w:val="00EB3496"/>
    <w:rsid w:val="00EC2433"/>
    <w:rsid w:val="00ED03D3"/>
    <w:rsid w:val="00ED3F2B"/>
    <w:rsid w:val="00ED5295"/>
    <w:rsid w:val="00EE2210"/>
    <w:rsid w:val="00EF789D"/>
    <w:rsid w:val="00F026C3"/>
    <w:rsid w:val="00F26F9F"/>
    <w:rsid w:val="00F271A1"/>
    <w:rsid w:val="00F502E7"/>
    <w:rsid w:val="00F50921"/>
    <w:rsid w:val="00F60CF6"/>
    <w:rsid w:val="00F6333D"/>
    <w:rsid w:val="00F71C2D"/>
    <w:rsid w:val="00F71E0E"/>
    <w:rsid w:val="00F7413D"/>
    <w:rsid w:val="00F80004"/>
    <w:rsid w:val="00F81336"/>
    <w:rsid w:val="00FD0524"/>
    <w:rsid w:val="00FF61F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E4B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e Standard"/>
    <w:qFormat/>
    <w:rsid w:val="00142D24"/>
    <w:pPr>
      <w:ind w:firstLine="284"/>
    </w:pPr>
    <w:rPr>
      <w:rFonts w:ascii="Calibri" w:hAnsi="Calibri"/>
    </w:rPr>
  </w:style>
  <w:style w:type="paragraph" w:styleId="Titre1">
    <w:name w:val="heading 1"/>
    <w:aliases w:val="Titre 01 Bleu"/>
    <w:basedOn w:val="Normal"/>
    <w:next w:val="Normal"/>
    <w:link w:val="Titre1Car"/>
    <w:autoRedefine/>
    <w:uiPriority w:val="9"/>
    <w:qFormat/>
    <w:rsid w:val="003031D1"/>
    <w:pPr>
      <w:keepNext/>
      <w:keepLines/>
      <w:spacing w:before="240" w:after="240"/>
      <w:ind w:firstLine="0"/>
      <w:jc w:val="center"/>
      <w:outlineLvl w:val="0"/>
    </w:pPr>
    <w:rPr>
      <w:rFonts w:eastAsiaTheme="majorEastAsia" w:cstheme="majorBidi"/>
      <w:caps/>
      <w:color w:val="00AAC3"/>
      <w:spacing w:val="20"/>
      <w:sz w:val="28"/>
    </w:rPr>
  </w:style>
  <w:style w:type="paragraph" w:styleId="Titre2">
    <w:name w:val="heading 2"/>
    <w:aliases w:val="Titre 02"/>
    <w:basedOn w:val="Normal"/>
    <w:next w:val="Normal"/>
    <w:link w:val="Titre2Car"/>
    <w:uiPriority w:val="9"/>
    <w:unhideWhenUsed/>
    <w:qFormat/>
    <w:rsid w:val="00F50921"/>
    <w:pPr>
      <w:keepNext/>
      <w:keepLines/>
      <w:spacing w:before="200" w:after="100"/>
      <w:ind w:left="567"/>
      <w:contextualSpacing/>
      <w:outlineLvl w:val="1"/>
    </w:pPr>
    <w:rPr>
      <w:rFonts w:asciiTheme="majorHAnsi" w:eastAsiaTheme="majorEastAsia" w:hAnsiTheme="majorHAnsi" w:cstheme="majorBidi"/>
      <w:caps/>
      <w:color w:val="000000" w:themeColor="text1"/>
      <w:sz w:val="26"/>
      <w:szCs w:val="26"/>
    </w:rPr>
  </w:style>
  <w:style w:type="paragraph" w:styleId="Titre3">
    <w:name w:val="heading 3"/>
    <w:aliases w:val="Alinéas"/>
    <w:basedOn w:val="Normal"/>
    <w:next w:val="Normal"/>
    <w:link w:val="Titre3Car"/>
    <w:uiPriority w:val="9"/>
    <w:unhideWhenUsed/>
    <w:qFormat/>
    <w:rsid w:val="00E7238C"/>
    <w:pPr>
      <w:keepNext/>
      <w:keepLines/>
      <w:numPr>
        <w:numId w:val="1"/>
      </w:numPr>
      <w:outlineLvl w:val="2"/>
    </w:pPr>
    <w:rPr>
      <w:rFonts w:eastAsiaTheme="majorEastAsia" w:cstheme="majorBidi"/>
      <w:bCs/>
      <w:color w:val="000000" w:themeColor="text1"/>
    </w:rPr>
  </w:style>
  <w:style w:type="paragraph" w:styleId="Titre4">
    <w:name w:val="heading 4"/>
    <w:aliases w:val="Titre Encadré"/>
    <w:basedOn w:val="Normal"/>
    <w:next w:val="Normal"/>
    <w:link w:val="Titre4Car"/>
    <w:autoRedefine/>
    <w:uiPriority w:val="9"/>
    <w:unhideWhenUsed/>
    <w:qFormat/>
    <w:rsid w:val="00992AB8"/>
    <w:pPr>
      <w:keepNext/>
      <w:keepLines/>
      <w:pBdr>
        <w:top w:val="single" w:sz="48" w:space="1" w:color="92CDDC" w:themeColor="accent5" w:themeTint="99"/>
        <w:left w:val="single" w:sz="48" w:space="1" w:color="92CDDC" w:themeColor="accent5" w:themeTint="99"/>
        <w:bottom w:val="single" w:sz="48" w:space="1" w:color="92CDDC" w:themeColor="accent5" w:themeTint="99"/>
        <w:right w:val="single" w:sz="48" w:space="1" w:color="92CDDC" w:themeColor="accent5" w:themeTint="99"/>
      </w:pBdr>
      <w:spacing w:before="200" w:after="200"/>
      <w:ind w:left="649" w:right="515" w:firstLine="0"/>
      <w:jc w:val="center"/>
      <w:outlineLvl w:val="3"/>
    </w:pPr>
    <w:rPr>
      <w:rFonts w:asciiTheme="majorHAnsi" w:eastAsiaTheme="majorEastAsia" w:hAnsiTheme="majorHAnsi" w:cstheme="majorBidi"/>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Titre 01"/>
    <w:basedOn w:val="Normal"/>
    <w:next w:val="Normal"/>
    <w:link w:val="SansinterligneCar"/>
    <w:qFormat/>
    <w:rsid w:val="00B95BEB"/>
    <w:pPr>
      <w:spacing w:before="240" w:after="160"/>
      <w:ind w:left="-567" w:firstLine="0"/>
      <w:contextualSpacing/>
    </w:pPr>
    <w:rPr>
      <w:rFonts w:asciiTheme="majorHAnsi" w:hAnsiTheme="majorHAnsi"/>
      <w:b/>
      <w:bCs/>
      <w:caps/>
      <w:spacing w:val="20"/>
      <w:sz w:val="32"/>
      <w:szCs w:val="32"/>
      <w14:numSpacing w14:val="proportional"/>
    </w:rPr>
  </w:style>
  <w:style w:type="character" w:customStyle="1" w:styleId="Titre1Car">
    <w:name w:val="Titre 1 Car"/>
    <w:aliases w:val="Titre 01 Bleu Car"/>
    <w:basedOn w:val="Policepardfaut"/>
    <w:link w:val="Titre1"/>
    <w:uiPriority w:val="9"/>
    <w:rsid w:val="003031D1"/>
    <w:rPr>
      <w:rFonts w:ascii="Calibri" w:eastAsiaTheme="majorEastAsia" w:hAnsi="Calibri" w:cstheme="majorBidi"/>
      <w:caps/>
      <w:color w:val="00AAC3"/>
      <w:spacing w:val="20"/>
      <w:sz w:val="28"/>
    </w:rPr>
  </w:style>
  <w:style w:type="character" w:customStyle="1" w:styleId="Titre2Car">
    <w:name w:val="Titre 2 Car"/>
    <w:aliases w:val="Titre 02 Car"/>
    <w:basedOn w:val="Policepardfaut"/>
    <w:link w:val="Titre2"/>
    <w:uiPriority w:val="9"/>
    <w:rsid w:val="00F50921"/>
    <w:rPr>
      <w:rFonts w:asciiTheme="majorHAnsi" w:eastAsiaTheme="majorEastAsia" w:hAnsiTheme="majorHAnsi" w:cstheme="majorBidi"/>
      <w:caps/>
      <w:color w:val="000000" w:themeColor="text1"/>
      <w:sz w:val="26"/>
      <w:szCs w:val="26"/>
    </w:rPr>
  </w:style>
  <w:style w:type="character" w:customStyle="1" w:styleId="Titre3Car">
    <w:name w:val="Titre 3 Car"/>
    <w:aliases w:val="Alinéas Car"/>
    <w:basedOn w:val="Policepardfaut"/>
    <w:link w:val="Titre3"/>
    <w:uiPriority w:val="9"/>
    <w:rsid w:val="00E7238C"/>
    <w:rPr>
      <w:rFonts w:ascii="Calibri" w:eastAsiaTheme="majorEastAsia" w:hAnsi="Calibri" w:cstheme="majorBidi"/>
      <w:bCs/>
      <w:color w:val="000000" w:themeColor="text1"/>
    </w:rPr>
  </w:style>
  <w:style w:type="character" w:customStyle="1" w:styleId="Titre4Car">
    <w:name w:val="Titre 4 Car"/>
    <w:aliases w:val="Titre Encadré Car"/>
    <w:basedOn w:val="Policepardfaut"/>
    <w:link w:val="Titre4"/>
    <w:uiPriority w:val="9"/>
    <w:rsid w:val="00992AB8"/>
    <w:rPr>
      <w:rFonts w:asciiTheme="majorHAnsi" w:eastAsiaTheme="majorEastAsia" w:hAnsiTheme="majorHAnsi" w:cstheme="majorBidi"/>
      <w:caps/>
    </w:rPr>
  </w:style>
  <w:style w:type="character" w:customStyle="1" w:styleId="SansinterligneCar">
    <w:name w:val="Sans interligne Car"/>
    <w:aliases w:val="Titre 01 Car"/>
    <w:basedOn w:val="Policepardfaut"/>
    <w:link w:val="Sansinterligne"/>
    <w:rsid w:val="00B95BEB"/>
    <w:rPr>
      <w:rFonts w:asciiTheme="majorHAnsi" w:hAnsiTheme="majorHAnsi"/>
      <w:b/>
      <w:bCs/>
      <w:caps/>
      <w:spacing w:val="20"/>
      <w:sz w:val="32"/>
      <w:szCs w:val="32"/>
      <w14:numSpacing w14:val="proportional"/>
    </w:rPr>
  </w:style>
  <w:style w:type="paragraph" w:styleId="En-tte">
    <w:name w:val="header"/>
    <w:basedOn w:val="Normal"/>
    <w:link w:val="En-tteCar"/>
    <w:uiPriority w:val="99"/>
    <w:unhideWhenUsed/>
    <w:rsid w:val="009B68BC"/>
    <w:pPr>
      <w:tabs>
        <w:tab w:val="center" w:pos="4536"/>
        <w:tab w:val="right" w:pos="9072"/>
      </w:tabs>
    </w:pPr>
  </w:style>
  <w:style w:type="character" w:customStyle="1" w:styleId="En-tteCar">
    <w:name w:val="En-tête Car"/>
    <w:basedOn w:val="Policepardfaut"/>
    <w:link w:val="En-tte"/>
    <w:uiPriority w:val="99"/>
    <w:rsid w:val="009B68BC"/>
    <w:rPr>
      <w:rFonts w:ascii="Calibri" w:hAnsi="Calibri"/>
    </w:rPr>
  </w:style>
  <w:style w:type="paragraph" w:styleId="Pieddepage">
    <w:name w:val="footer"/>
    <w:basedOn w:val="Normal"/>
    <w:link w:val="PieddepageCar"/>
    <w:uiPriority w:val="99"/>
    <w:unhideWhenUsed/>
    <w:rsid w:val="009B68BC"/>
    <w:pPr>
      <w:tabs>
        <w:tab w:val="center" w:pos="4536"/>
        <w:tab w:val="right" w:pos="9072"/>
      </w:tabs>
    </w:pPr>
  </w:style>
  <w:style w:type="character" w:customStyle="1" w:styleId="PieddepageCar">
    <w:name w:val="Pied de page Car"/>
    <w:basedOn w:val="Policepardfaut"/>
    <w:link w:val="Pieddepage"/>
    <w:uiPriority w:val="99"/>
    <w:rsid w:val="009B68BC"/>
    <w:rPr>
      <w:rFonts w:ascii="Calibri" w:hAnsi="Calibri"/>
    </w:rPr>
  </w:style>
  <w:style w:type="table" w:styleId="Trameclaire-Accent1">
    <w:name w:val="Light Shading Accent 1"/>
    <w:basedOn w:val="TableauNormal"/>
    <w:uiPriority w:val="60"/>
    <w:rsid w:val="009B68BC"/>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umrodepage">
    <w:name w:val="page number"/>
    <w:basedOn w:val="Policepardfaut"/>
    <w:uiPriority w:val="99"/>
    <w:semiHidden/>
    <w:unhideWhenUsed/>
    <w:rsid w:val="009B68BC"/>
  </w:style>
  <w:style w:type="paragraph" w:styleId="Textedebulles">
    <w:name w:val="Balloon Text"/>
    <w:basedOn w:val="Normal"/>
    <w:link w:val="TextedebullesCar"/>
    <w:uiPriority w:val="99"/>
    <w:semiHidden/>
    <w:unhideWhenUsed/>
    <w:rsid w:val="00B6470E"/>
    <w:rPr>
      <w:rFonts w:ascii="Lucida Grande" w:hAnsi="Lucida Grande" w:cs="Lucida Grande"/>
      <w:sz w:val="18"/>
      <w:szCs w:val="18"/>
    </w:rPr>
  </w:style>
  <w:style w:type="paragraph" w:styleId="TM5">
    <w:name w:val="toc 5"/>
    <w:basedOn w:val="Normal"/>
    <w:next w:val="Normal"/>
    <w:autoRedefine/>
    <w:uiPriority w:val="39"/>
    <w:semiHidden/>
    <w:unhideWhenUsed/>
    <w:rsid w:val="00B6470E"/>
    <w:pPr>
      <w:spacing w:after="100"/>
      <w:ind w:left="960"/>
    </w:pPr>
  </w:style>
  <w:style w:type="character" w:customStyle="1" w:styleId="TextedebullesCar">
    <w:name w:val="Texte de bulles Car"/>
    <w:basedOn w:val="Policepardfaut"/>
    <w:link w:val="Textedebulles"/>
    <w:uiPriority w:val="99"/>
    <w:semiHidden/>
    <w:rsid w:val="00B6470E"/>
    <w:rPr>
      <w:rFonts w:ascii="Lucida Grande" w:hAnsi="Lucida Grande" w:cs="Lucida Grande"/>
      <w:sz w:val="18"/>
      <w:szCs w:val="18"/>
    </w:rPr>
  </w:style>
  <w:style w:type="paragraph" w:styleId="Paragraphedeliste">
    <w:name w:val="List Paragraph"/>
    <w:aliases w:val="Texte G encadré"/>
    <w:basedOn w:val="Normal"/>
    <w:next w:val="Normal"/>
    <w:autoRedefine/>
    <w:uiPriority w:val="34"/>
    <w:qFormat/>
    <w:rsid w:val="004A10CF"/>
    <w:pPr>
      <w:numPr>
        <w:numId w:val="40"/>
      </w:numPr>
      <w:pBdr>
        <w:top w:val="single" w:sz="48" w:space="4" w:color="92CDDC"/>
        <w:left w:val="single" w:sz="48" w:space="4" w:color="92CDDC"/>
        <w:bottom w:val="single" w:sz="48" w:space="4" w:color="92CDDC"/>
        <w:right w:val="single" w:sz="48" w:space="4" w:color="92CDDC"/>
      </w:pBdr>
      <w:spacing w:after="120" w:line="276" w:lineRule="auto"/>
    </w:pPr>
    <w:rPr>
      <w:rFonts w:asciiTheme="majorHAnsi" w:eastAsia="Calibri" w:hAnsiTheme="majorHAnsi" w:cstheme="majorHAnsi"/>
      <w:szCs w:val="22"/>
      <w:lang w:eastAsia="en-US"/>
    </w:rPr>
  </w:style>
  <w:style w:type="paragraph" w:styleId="NormalWeb">
    <w:name w:val="Normal (Web)"/>
    <w:basedOn w:val="Normal"/>
    <w:uiPriority w:val="99"/>
    <w:unhideWhenUsed/>
    <w:rsid w:val="006C3384"/>
    <w:pPr>
      <w:spacing w:before="100" w:beforeAutospacing="1" w:after="100" w:afterAutospacing="1"/>
      <w:ind w:firstLine="0"/>
    </w:pPr>
    <w:rPr>
      <w:rFonts w:ascii="Times New Roman" w:eastAsia="Times New Roman" w:hAnsi="Times New Roman" w:cs="Times New Roman"/>
    </w:rPr>
  </w:style>
  <w:style w:type="table" w:styleId="Grilledutableau">
    <w:name w:val="Table Grid"/>
    <w:basedOn w:val="TableauNormal"/>
    <w:uiPriority w:val="99"/>
    <w:rsid w:val="006C33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C3384"/>
    <w:rPr>
      <w:color w:val="0000FF" w:themeColor="hyperlink"/>
      <w:u w:val="single"/>
    </w:rPr>
  </w:style>
  <w:style w:type="character" w:styleId="Titredulivre">
    <w:name w:val="Book Title"/>
    <w:basedOn w:val="Policepardfaut"/>
    <w:uiPriority w:val="33"/>
    <w:rsid w:val="00103D4D"/>
    <w:rPr>
      <w:b/>
      <w:bCs/>
      <w:smallCaps/>
      <w:spacing w:val="5"/>
    </w:rPr>
  </w:style>
  <w:style w:type="paragraph" w:styleId="Sous-titre">
    <w:name w:val="Subtitle"/>
    <w:basedOn w:val="Normal"/>
    <w:next w:val="Normal"/>
    <w:link w:val="Sous-titreCar"/>
    <w:uiPriority w:val="11"/>
    <w:rsid w:val="00EF789D"/>
    <w:pPr>
      <w:numPr>
        <w:ilvl w:val="1"/>
      </w:numPr>
      <w:ind w:firstLine="284"/>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EF789D"/>
    <w:rPr>
      <w:rFonts w:asciiTheme="majorHAnsi" w:eastAsiaTheme="majorEastAsia" w:hAnsiTheme="majorHAnsi" w:cstheme="majorBidi"/>
      <w:i/>
      <w:iCs/>
      <w:color w:val="4F81BD" w:themeColor="accent1"/>
      <w:spacing w:val="15"/>
    </w:rPr>
  </w:style>
  <w:style w:type="paragraph" w:customStyle="1" w:styleId="Style1">
    <w:name w:val="Style 1"/>
    <w:basedOn w:val="Normal"/>
    <w:uiPriority w:val="99"/>
    <w:rsid w:val="00D85845"/>
    <w:pPr>
      <w:widowControl w:val="0"/>
      <w:autoSpaceDE w:val="0"/>
      <w:autoSpaceDN w:val="0"/>
      <w:adjustRightInd w:val="0"/>
      <w:ind w:firstLine="0"/>
    </w:pPr>
    <w:rPr>
      <w:rFonts w:ascii="Times New Roman" w:hAnsi="Times New Roman" w:cs="Times New Roman"/>
      <w:sz w:val="20"/>
      <w:szCs w:val="20"/>
    </w:rPr>
  </w:style>
  <w:style w:type="character" w:customStyle="1" w:styleId="CharacterStyle2">
    <w:name w:val="Character Style 2"/>
    <w:uiPriority w:val="99"/>
    <w:rsid w:val="00D85845"/>
    <w:rPr>
      <w:sz w:val="20"/>
      <w:szCs w:val="20"/>
    </w:rPr>
  </w:style>
  <w:style w:type="paragraph" w:customStyle="1" w:styleId="Standard">
    <w:name w:val="Standard"/>
    <w:rsid w:val="00C838AC"/>
    <w:pPr>
      <w:suppressAutoHyphens/>
      <w:autoSpaceDN w:val="0"/>
      <w:spacing w:after="160" w:line="256" w:lineRule="auto"/>
      <w:textAlignment w:val="baseline"/>
    </w:pPr>
    <w:rPr>
      <w:rFonts w:ascii="Calibri" w:eastAsia="SimSun" w:hAnsi="Calibri" w:cs="Tahoma"/>
      <w:kern w:val="3"/>
      <w:sz w:val="22"/>
      <w:szCs w:val="22"/>
      <w:lang w:eastAsia="en-US"/>
    </w:rPr>
  </w:style>
  <w:style w:type="paragraph" w:styleId="Notedebasdepage">
    <w:name w:val="footnote text"/>
    <w:basedOn w:val="Normal"/>
    <w:link w:val="NotedebasdepageCar"/>
    <w:uiPriority w:val="99"/>
    <w:semiHidden/>
    <w:unhideWhenUsed/>
    <w:rsid w:val="00C838AC"/>
    <w:pPr>
      <w:widowControl w:val="0"/>
      <w:suppressAutoHyphens/>
      <w:autoSpaceDN w:val="0"/>
      <w:ind w:firstLine="0"/>
      <w:textAlignment w:val="baseline"/>
    </w:pPr>
    <w:rPr>
      <w:rFonts w:eastAsia="SimSun" w:cs="Tahoma"/>
      <w:kern w:val="3"/>
      <w:sz w:val="20"/>
      <w:szCs w:val="20"/>
      <w:lang w:eastAsia="en-US"/>
    </w:rPr>
  </w:style>
  <w:style w:type="character" w:customStyle="1" w:styleId="NotedebasdepageCar">
    <w:name w:val="Note de bas de page Car"/>
    <w:basedOn w:val="Policepardfaut"/>
    <w:link w:val="Notedebasdepage"/>
    <w:uiPriority w:val="99"/>
    <w:semiHidden/>
    <w:rsid w:val="00C838AC"/>
    <w:rPr>
      <w:rFonts w:ascii="Calibri" w:eastAsia="SimSun" w:hAnsi="Calibri" w:cs="Tahoma"/>
      <w:kern w:val="3"/>
      <w:sz w:val="20"/>
      <w:szCs w:val="20"/>
      <w:lang w:eastAsia="en-US"/>
    </w:rPr>
  </w:style>
  <w:style w:type="character" w:styleId="Appelnotedebasdep">
    <w:name w:val="footnote reference"/>
    <w:basedOn w:val="Policepardfaut"/>
    <w:uiPriority w:val="99"/>
    <w:semiHidden/>
    <w:unhideWhenUsed/>
    <w:rsid w:val="00C838AC"/>
    <w:rPr>
      <w:vertAlign w:val="superscript"/>
    </w:rPr>
  </w:style>
  <w:style w:type="character" w:styleId="Mentionnonrsolue">
    <w:name w:val="Unresolved Mention"/>
    <w:basedOn w:val="Policepardfaut"/>
    <w:uiPriority w:val="99"/>
    <w:semiHidden/>
    <w:unhideWhenUsed/>
    <w:rsid w:val="00AD1B8D"/>
    <w:rPr>
      <w:color w:val="605E5C"/>
      <w:shd w:val="clear" w:color="auto" w:fill="E1DFDD"/>
    </w:rPr>
  </w:style>
  <w:style w:type="table" w:styleId="TableauGrille3-Accentuation5">
    <w:name w:val="Grid Table 3 Accent 5"/>
    <w:basedOn w:val="TableauNormal"/>
    <w:uiPriority w:val="48"/>
    <w:rsid w:val="0068425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eauGrille5Fonc-Accentuation5">
    <w:name w:val="Grid Table 5 Dark Accent 5"/>
    <w:basedOn w:val="TableauNormal"/>
    <w:uiPriority w:val="50"/>
    <w:rsid w:val="006842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2-Accentuation5">
    <w:name w:val="Grid Table 2 Accent 5"/>
    <w:basedOn w:val="TableauNormal"/>
    <w:uiPriority w:val="47"/>
    <w:rsid w:val="0068425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7Couleur-Accentuation5">
    <w:name w:val="List Table 7 Colorful Accent 5"/>
    <w:basedOn w:val="TableauNormal"/>
    <w:uiPriority w:val="52"/>
    <w:rsid w:val="00684254"/>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Accentuation5">
    <w:name w:val="Grid Table 1 Light Accent 5"/>
    <w:basedOn w:val="TableauNormal"/>
    <w:uiPriority w:val="46"/>
    <w:rsid w:val="0068425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68425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0712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mf-france.org/Publications/Guides/Professionne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f-france.org/Publications/Guides/Professionnels"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A8C0">
            <a:alpha val="20000"/>
          </a:srgbClr>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5">
            <a:shade val="50000"/>
          </a:schemeClr>
        </a:lnRef>
        <a:fillRef idx="1">
          <a:schemeClr val="accent5"/>
        </a:fillRef>
        <a:effectRef idx="0">
          <a:schemeClr val="accent5"/>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9329B86C5E4C438C39F86B9E8E73C4" ma:contentTypeVersion="8" ma:contentTypeDescription="Crée un document." ma:contentTypeScope="" ma:versionID="03ec2cdd6497d487f4e9fc2b62ba5f35">
  <xsd:schema xmlns:xsd="http://www.w3.org/2001/XMLSchema" xmlns:xs="http://www.w3.org/2001/XMLSchema" xmlns:p="http://schemas.microsoft.com/office/2006/metadata/properties" xmlns:ns2="09dfb64a-0223-49ce-8cb7-6aa0f8b96d40" xmlns:ns3="163da0d5-6dfe-4c06-a388-cc35b9912f24" targetNamespace="http://schemas.microsoft.com/office/2006/metadata/properties" ma:root="true" ma:fieldsID="70d35207d96d43046eaa2a4ab89326af" ns2:_="" ns3:_="">
    <xsd:import namespace="09dfb64a-0223-49ce-8cb7-6aa0f8b96d40"/>
    <xsd:import namespace="163da0d5-6dfe-4c06-a388-cc35b9912f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b64a-0223-49ce-8cb7-6aa0f8b96d40"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3da0d5-6dfe-4c06-a388-cc35b9912f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9dfb64a-0223-49ce-8cb7-6aa0f8b96d4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F0EB9-B574-46AE-8C4B-0A1CC58E2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b64a-0223-49ce-8cb7-6aa0f8b96d40"/>
    <ds:schemaRef ds:uri="163da0d5-6dfe-4c06-a388-cc35b9912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54426F-604A-443F-A91A-172AA0039E85}">
  <ds:schemaRefs>
    <ds:schemaRef ds:uri="http://schemas.microsoft.com/office/2006/metadata/properties"/>
    <ds:schemaRef ds:uri="http://schemas.microsoft.com/office/infopath/2007/PartnerControls"/>
    <ds:schemaRef ds:uri="09dfb64a-0223-49ce-8cb7-6aa0f8b96d40"/>
  </ds:schemaRefs>
</ds:datastoreItem>
</file>

<file path=customXml/itemProps3.xml><?xml version="1.0" encoding="utf-8"?>
<ds:datastoreItem xmlns:ds="http://schemas.openxmlformats.org/officeDocument/2006/customXml" ds:itemID="{F0CA898A-3BDF-437C-8543-2CE9881EE134}">
  <ds:schemaRefs>
    <ds:schemaRef ds:uri="http://schemas.microsoft.com/sharepoint/v3/contenttype/forms"/>
  </ds:schemaRefs>
</ds:datastoreItem>
</file>

<file path=customXml/itemProps4.xml><?xml version="1.0" encoding="utf-8"?>
<ds:datastoreItem xmlns:ds="http://schemas.openxmlformats.org/officeDocument/2006/customXml" ds:itemID="{970FDE3D-ED66-46D2-A926-81854CBA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19</Pages>
  <Words>4564</Words>
  <Characters>25106</Characters>
  <Application>Microsoft Office Word</Application>
  <DocSecurity>0</DocSecurity>
  <Lines>209</Lines>
  <Paragraphs>59</Paragraphs>
  <ScaleCrop>false</ScaleCrop>
  <HeadingPairs>
    <vt:vector size="4" baseType="variant">
      <vt:variant>
        <vt:lpstr>Titre</vt:lpstr>
      </vt:variant>
      <vt:variant>
        <vt:i4>1</vt:i4>
      </vt:variant>
      <vt:variant>
        <vt:lpstr>Headings</vt:lpstr>
      </vt:variant>
      <vt:variant>
        <vt:i4>14</vt:i4>
      </vt:variant>
    </vt:vector>
  </HeadingPairs>
  <TitlesOfParts>
    <vt:vector size="15" baseType="lpstr">
      <vt:lpstr>Titre page</vt:lpstr>
      <vt:lpstr>Vous rencontrez des difficultés financières importantes, quel plan d’action mett</vt:lpstr>
      <vt:lpstr>Comment définir l’état de cessation des paiements ?</vt:lpstr>
      <vt:lpstr>Procédures collectives et procédures amiables</vt:lpstr>
      <vt:lpstr>Les procédures préventives</vt:lpstr>
      <vt:lpstr>Les procédures collectives</vt:lpstr>
      <vt:lpstr>Synthèse des procédures</vt:lpstr>
      <vt:lpstr>La procédure d’alerte du commissaire aux comptes</vt:lpstr>
      <vt:lpstr>Conditions de déclenchement</vt:lpstr>
      <vt:lpstr>Déroulement de la procédure</vt:lpstr>
      <vt:lpstr>Autres droits d’alerte</vt:lpstr>
      <vt:lpstr>Les sanctions susceptibles d’être prononcées à l’encontre des dirigeants d’assoc</vt:lpstr>
      <vt:lpstr>Les sanctions pécuniaires</vt:lpstr>
      <vt:lpstr>Les sanctions personnelles </vt:lpstr>
      <vt:lpstr>Les sanctions pénales </vt:lpstr>
    </vt:vector>
  </TitlesOfParts>
  <Company/>
  <LinksUpToDate>false</LinksUpToDate>
  <CharactersWithSpaces>29611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page</dc:title>
  <dc:subject/>
  <dc:creator>Sous-titre</dc:creator>
  <cp:keywords/>
  <dc:description/>
  <cp:lastModifiedBy>Caroline VANLERBERGHE</cp:lastModifiedBy>
  <cp:revision>183</cp:revision>
  <cp:lastPrinted>2016-04-08T12:09:00Z</cp:lastPrinted>
  <dcterms:created xsi:type="dcterms:W3CDTF">2018-10-02T14:44:00Z</dcterms:created>
  <dcterms:modified xsi:type="dcterms:W3CDTF">2018-12-14T19:07:00Z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0x010100C79329B86C5E4C438C39F86B9E8E73C4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